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47B9" w14:textId="77777777" w:rsidR="00BC7922" w:rsidRPr="005505C3" w:rsidRDefault="00BC7922" w:rsidP="00BC7922">
      <w:pPr>
        <w:pStyle w:val="Heading1"/>
        <w:rPr>
          <w:rFonts w:ascii="Aptos" w:hAnsi="Aptos"/>
          <w:color w:val="auto"/>
        </w:rPr>
      </w:pPr>
      <w:r w:rsidRPr="005505C3">
        <w:rPr>
          <w:rFonts w:ascii="Aptos" w:hAnsi="Aptos"/>
          <w:color w:val="auto"/>
        </w:rPr>
        <w:t>Disability Resource Center (DRC) Program Overview 2024–2025</w:t>
      </w:r>
    </w:p>
    <w:p w14:paraId="14A0282B" w14:textId="77777777" w:rsidR="00BC7922" w:rsidRPr="005505C3" w:rsidRDefault="00BC7922" w:rsidP="00BC7922">
      <w:pPr>
        <w:rPr>
          <w:rFonts w:ascii="Aptos" w:hAnsi="Aptos"/>
        </w:rPr>
      </w:pPr>
    </w:p>
    <w:p w14:paraId="350A3CEE" w14:textId="77777777" w:rsidR="00BC7922" w:rsidRPr="005505C3" w:rsidRDefault="00BC7922" w:rsidP="00BC7922">
      <w:pPr>
        <w:pStyle w:val="Heading2"/>
        <w:rPr>
          <w:rFonts w:ascii="Aptos" w:hAnsi="Aptos"/>
        </w:rPr>
      </w:pPr>
      <w:r w:rsidRPr="005505C3">
        <w:rPr>
          <w:rFonts w:ascii="Aptos" w:hAnsi="Aptos"/>
        </w:rPr>
        <w:t>MISSION STATEMENT</w:t>
      </w:r>
    </w:p>
    <w:p w14:paraId="64D03D31" w14:textId="7A408076" w:rsidR="00BC7922" w:rsidRPr="005505C3" w:rsidRDefault="00BC7922" w:rsidP="00BC7922">
      <w:pPr>
        <w:rPr>
          <w:rFonts w:ascii="Aptos" w:hAnsi="Aptos"/>
        </w:rPr>
      </w:pPr>
      <w:r w:rsidRPr="005505C3">
        <w:rPr>
          <w:rFonts w:ascii="Aptos" w:hAnsi="Aptos"/>
        </w:rPr>
        <w:t xml:space="preserve">The Disability Resource Center (DRC) provides leadership, guidance and facilitation of equal access for students </w:t>
      </w:r>
      <w:r w:rsidR="00A01F6E">
        <w:rPr>
          <w:rFonts w:ascii="Aptos" w:hAnsi="Aptos"/>
        </w:rPr>
        <w:t xml:space="preserve">with disabilities </w:t>
      </w:r>
      <w:r w:rsidRPr="005505C3">
        <w:rPr>
          <w:rFonts w:ascii="Aptos" w:hAnsi="Aptos"/>
        </w:rPr>
        <w:t xml:space="preserve">resulting in their full participation in curricular and co-curricular offerings. The DRC contributes to the design of </w:t>
      </w:r>
      <w:r w:rsidR="00A01F6E">
        <w:rPr>
          <w:rFonts w:ascii="Aptos" w:hAnsi="Aptos"/>
        </w:rPr>
        <w:t>accessible</w:t>
      </w:r>
      <w:r w:rsidRPr="005505C3">
        <w:rPr>
          <w:rFonts w:ascii="Aptos" w:hAnsi="Aptos"/>
        </w:rPr>
        <w:t xml:space="preserve"> environments for all campus participants through education and collaboration with students, faculty, staff</w:t>
      </w:r>
      <w:r w:rsidR="00A01F6E">
        <w:rPr>
          <w:rFonts w:ascii="Aptos" w:hAnsi="Aptos"/>
        </w:rPr>
        <w:t>,</w:t>
      </w:r>
      <w:r w:rsidRPr="005505C3">
        <w:rPr>
          <w:rFonts w:ascii="Aptos" w:hAnsi="Aptos"/>
        </w:rPr>
        <w:t xml:space="preserve"> and community partners.</w:t>
      </w:r>
    </w:p>
    <w:p w14:paraId="23C86CA0" w14:textId="77777777" w:rsidR="00BC7922" w:rsidRPr="005505C3" w:rsidRDefault="00BC7922" w:rsidP="00BC7922">
      <w:pPr>
        <w:pStyle w:val="Heading2"/>
        <w:rPr>
          <w:rFonts w:ascii="Aptos" w:hAnsi="Aptos"/>
        </w:rPr>
      </w:pPr>
      <w:r w:rsidRPr="005505C3">
        <w:rPr>
          <w:rFonts w:ascii="Aptos" w:hAnsi="Aptos"/>
        </w:rPr>
        <w:t>VISION STATEMENT</w:t>
      </w:r>
    </w:p>
    <w:p w14:paraId="5AFBF836" w14:textId="77777777" w:rsidR="00BC7922" w:rsidRPr="005505C3" w:rsidRDefault="00BC7922" w:rsidP="00BC7922">
      <w:pPr>
        <w:rPr>
          <w:rFonts w:ascii="Aptos" w:hAnsi="Aptos"/>
        </w:rPr>
      </w:pPr>
      <w:r w:rsidRPr="005505C3">
        <w:rPr>
          <w:rFonts w:ascii="Aptos" w:hAnsi="Aptos"/>
        </w:rPr>
        <w:t>The DRC aims to be a global leader in contributing to full access for all students participating in curricular and co-curricular activities.</w:t>
      </w:r>
    </w:p>
    <w:p w14:paraId="0F6E1167" w14:textId="77777777" w:rsidR="00BC7922" w:rsidRPr="005505C3" w:rsidRDefault="00BC7922" w:rsidP="00BC7922">
      <w:pPr>
        <w:pStyle w:val="Heading2"/>
        <w:rPr>
          <w:rFonts w:ascii="Aptos" w:hAnsi="Aptos"/>
        </w:rPr>
      </w:pPr>
      <w:r w:rsidRPr="005505C3">
        <w:rPr>
          <w:rFonts w:ascii="Aptos" w:hAnsi="Aptos"/>
        </w:rPr>
        <w:t>PROGRAM ELEMENTS</w:t>
      </w:r>
    </w:p>
    <w:p w14:paraId="0C9E5178" w14:textId="178D348B" w:rsidR="00BC7922" w:rsidRPr="005505C3" w:rsidRDefault="00BC7922" w:rsidP="00BC7922">
      <w:pPr>
        <w:rPr>
          <w:rFonts w:ascii="Aptos" w:hAnsi="Aptos"/>
        </w:rPr>
      </w:pPr>
      <w:r w:rsidRPr="005505C3">
        <w:rPr>
          <w:rFonts w:ascii="Aptos" w:hAnsi="Aptos"/>
        </w:rPr>
        <w:t>The DRC provides a coordinated and comprehensive approach to accessibility, focused on proactive design, implementation, and collaboration across the university.</w:t>
      </w:r>
    </w:p>
    <w:p w14:paraId="30A83326" w14:textId="77777777" w:rsidR="00BC7922" w:rsidRPr="005505C3" w:rsidRDefault="00BC7922" w:rsidP="00BC7922">
      <w:pPr>
        <w:pStyle w:val="Heading3"/>
        <w:rPr>
          <w:rFonts w:ascii="Aptos" w:hAnsi="Aptos"/>
          <w:b/>
          <w:bCs/>
          <w:color w:val="auto"/>
        </w:rPr>
      </w:pPr>
      <w:r w:rsidRPr="005505C3">
        <w:rPr>
          <w:rFonts w:ascii="Aptos" w:hAnsi="Aptos"/>
          <w:b/>
          <w:bCs/>
          <w:color w:val="auto"/>
        </w:rPr>
        <w:t>DIRECT STUDENT SUPPORT</w:t>
      </w:r>
    </w:p>
    <w:p w14:paraId="3FBF0861" w14:textId="65A53685" w:rsidR="00BC7922" w:rsidRPr="005505C3" w:rsidRDefault="00BC7922" w:rsidP="00BC7922">
      <w:pPr>
        <w:pStyle w:val="ListBullet"/>
        <w:numPr>
          <w:ilvl w:val="0"/>
          <w:numId w:val="13"/>
        </w:numPr>
        <w:rPr>
          <w:rFonts w:ascii="Aptos" w:hAnsi="Aptos"/>
        </w:rPr>
      </w:pPr>
      <w:r w:rsidRPr="005505C3">
        <w:rPr>
          <w:rFonts w:ascii="Aptos" w:hAnsi="Aptos"/>
          <w:b/>
          <w:bCs/>
        </w:rPr>
        <w:t>Individualized Access Planning</w:t>
      </w:r>
      <w:r w:rsidRPr="005505C3">
        <w:rPr>
          <w:rFonts w:ascii="Aptos" w:hAnsi="Aptos"/>
        </w:rPr>
        <w:t xml:space="preserve">: Conduct one-on-one interactive process meetings to identify barriers and design </w:t>
      </w:r>
      <w:r w:rsidR="00A01F6E">
        <w:rPr>
          <w:rFonts w:ascii="Aptos" w:hAnsi="Aptos"/>
        </w:rPr>
        <w:t>individualized</w:t>
      </w:r>
      <w:r w:rsidRPr="005505C3">
        <w:rPr>
          <w:rFonts w:ascii="Aptos" w:hAnsi="Aptos"/>
        </w:rPr>
        <w:t>, student-centered access solutions.</w:t>
      </w:r>
    </w:p>
    <w:p w14:paraId="1EB14755" w14:textId="1291E7F6" w:rsidR="00BC7922" w:rsidRPr="005505C3" w:rsidRDefault="00BC7922" w:rsidP="00BC7922">
      <w:pPr>
        <w:pStyle w:val="ListBullet"/>
        <w:numPr>
          <w:ilvl w:val="0"/>
          <w:numId w:val="13"/>
        </w:numPr>
        <w:rPr>
          <w:rFonts w:ascii="Aptos" w:hAnsi="Aptos"/>
        </w:rPr>
      </w:pPr>
      <w:r w:rsidRPr="005505C3">
        <w:rPr>
          <w:rFonts w:ascii="Aptos" w:hAnsi="Aptos"/>
          <w:b/>
          <w:bCs/>
        </w:rPr>
        <w:t>Accessible Materials Production:</w:t>
      </w:r>
      <w:r w:rsidRPr="005505C3">
        <w:rPr>
          <w:rFonts w:ascii="Aptos" w:hAnsi="Aptos"/>
        </w:rPr>
        <w:t xml:space="preserve"> Through the Accessible Materials Unit, the DRC produces course materials in alternate formats, including remediated digital documents, Braille, and tactile graphics, to ensure timely and usable access for students.</w:t>
      </w:r>
    </w:p>
    <w:p w14:paraId="120A5668" w14:textId="77777777" w:rsidR="00BC7922" w:rsidRPr="005505C3" w:rsidRDefault="00BC7922" w:rsidP="00BC7922">
      <w:pPr>
        <w:pStyle w:val="ListBullet"/>
        <w:numPr>
          <w:ilvl w:val="0"/>
          <w:numId w:val="13"/>
        </w:numPr>
        <w:rPr>
          <w:rFonts w:ascii="Aptos" w:hAnsi="Aptos"/>
        </w:rPr>
      </w:pPr>
      <w:r w:rsidRPr="005505C3">
        <w:rPr>
          <w:rFonts w:ascii="Aptos" w:hAnsi="Aptos"/>
          <w:b/>
          <w:bCs/>
        </w:rPr>
        <w:t>Campus and Community Liaison:</w:t>
      </w:r>
      <w:r w:rsidRPr="005505C3">
        <w:rPr>
          <w:rFonts w:ascii="Aptos" w:hAnsi="Aptos"/>
        </w:rPr>
        <w:t xml:space="preserve"> Connect students with campus and community resources that promote holistic success and self-advocacy.</w:t>
      </w:r>
    </w:p>
    <w:p w14:paraId="31A1950C" w14:textId="77777777" w:rsidR="00BC7922" w:rsidRPr="005505C3" w:rsidRDefault="00BC7922" w:rsidP="00BC7922">
      <w:pPr>
        <w:pStyle w:val="ListBullet"/>
        <w:numPr>
          <w:ilvl w:val="0"/>
          <w:numId w:val="13"/>
        </w:numPr>
        <w:rPr>
          <w:rFonts w:ascii="Aptos" w:hAnsi="Aptos"/>
        </w:rPr>
      </w:pPr>
      <w:r w:rsidRPr="005505C3">
        <w:rPr>
          <w:rFonts w:ascii="Aptos" w:hAnsi="Aptos"/>
          <w:b/>
          <w:bCs/>
        </w:rPr>
        <w:t>Accommodated Testing:</w:t>
      </w:r>
      <w:r w:rsidRPr="005505C3">
        <w:rPr>
          <w:rFonts w:ascii="Aptos" w:hAnsi="Aptos"/>
        </w:rPr>
        <w:t xml:space="preserve"> Support faculty in meeting testing accommodations across Purdue campuses. In West Lafayette, this work occurs through Purdue Testing Services (PTS); at Purdue Indianapolis, the DRC Testing Center is fully staffed and operated by the DRC.</w:t>
      </w:r>
    </w:p>
    <w:p w14:paraId="1EDFA8DB" w14:textId="77777777" w:rsidR="00BC7922" w:rsidRPr="005505C3" w:rsidRDefault="00BC7922" w:rsidP="00BC7922">
      <w:pPr>
        <w:pStyle w:val="ListBullet"/>
        <w:numPr>
          <w:ilvl w:val="0"/>
          <w:numId w:val="13"/>
        </w:numPr>
        <w:rPr>
          <w:rFonts w:ascii="Aptos" w:hAnsi="Aptos"/>
        </w:rPr>
      </w:pPr>
      <w:r w:rsidRPr="005505C3">
        <w:rPr>
          <w:rFonts w:ascii="Aptos" w:hAnsi="Aptos"/>
          <w:b/>
          <w:bCs/>
        </w:rPr>
        <w:t>Peer Mentor Program (PMP</w:t>
      </w:r>
      <w:r w:rsidRPr="005505C3">
        <w:rPr>
          <w:rFonts w:ascii="Aptos" w:hAnsi="Aptos"/>
        </w:rPr>
        <w:t>): Facilitate student connection and belonging through the PMP, which pairs students for mentorship and hosts regular social and educational events in the DRC’s collaboration space.</w:t>
      </w:r>
    </w:p>
    <w:p w14:paraId="055D9594" w14:textId="77777777" w:rsidR="00BC7922" w:rsidRPr="005505C3" w:rsidRDefault="00BC7922" w:rsidP="00BC7922">
      <w:pPr>
        <w:pStyle w:val="Heading3"/>
        <w:rPr>
          <w:rFonts w:ascii="Aptos" w:hAnsi="Aptos"/>
          <w:b/>
          <w:bCs/>
          <w:color w:val="auto"/>
        </w:rPr>
      </w:pPr>
      <w:r w:rsidRPr="005505C3">
        <w:rPr>
          <w:rFonts w:ascii="Aptos" w:hAnsi="Aptos"/>
          <w:b/>
          <w:bCs/>
          <w:color w:val="auto"/>
        </w:rPr>
        <w:t>COLLABORATION AND SUPPORT</w:t>
      </w:r>
    </w:p>
    <w:p w14:paraId="72401532" w14:textId="77777777" w:rsidR="00BC7922" w:rsidRPr="005505C3" w:rsidRDefault="00BC7922" w:rsidP="00BC7922">
      <w:pPr>
        <w:pStyle w:val="ListBullet"/>
        <w:numPr>
          <w:ilvl w:val="0"/>
          <w:numId w:val="13"/>
        </w:numPr>
        <w:rPr>
          <w:rFonts w:ascii="Aptos" w:hAnsi="Aptos"/>
        </w:rPr>
      </w:pPr>
      <w:r w:rsidRPr="005505C3">
        <w:rPr>
          <w:rFonts w:ascii="Aptos" w:hAnsi="Aptos"/>
          <w:b/>
          <w:bCs/>
        </w:rPr>
        <w:t>Faculty Partnership and Consultation:</w:t>
      </w:r>
      <w:r w:rsidRPr="005505C3">
        <w:rPr>
          <w:rFonts w:ascii="Aptos" w:hAnsi="Aptos"/>
        </w:rPr>
        <w:t xml:space="preserve"> Provide individualized consultation for instructors on implementing accommodations while maintaining course integrity.</w:t>
      </w:r>
    </w:p>
    <w:p w14:paraId="1F7A157A" w14:textId="77777777" w:rsidR="00BC7922" w:rsidRPr="005505C3" w:rsidRDefault="00BC7922" w:rsidP="00BC7922">
      <w:pPr>
        <w:pStyle w:val="ListBullet"/>
        <w:numPr>
          <w:ilvl w:val="0"/>
          <w:numId w:val="13"/>
        </w:numPr>
        <w:rPr>
          <w:rFonts w:ascii="Aptos" w:hAnsi="Aptos"/>
        </w:rPr>
      </w:pPr>
      <w:r w:rsidRPr="005505C3">
        <w:rPr>
          <w:rFonts w:ascii="Aptos" w:hAnsi="Aptos"/>
          <w:b/>
          <w:bCs/>
        </w:rPr>
        <w:t>Proactive Access Education:</w:t>
      </w:r>
      <w:r w:rsidRPr="005505C3">
        <w:rPr>
          <w:rFonts w:ascii="Aptos" w:hAnsi="Aptos"/>
        </w:rPr>
        <w:t xml:space="preserve"> Collaborate with the Center for Instructional Excellence and Purdue Innovative Learning to promote accessible course design and faculty awareness of proactive access practices.</w:t>
      </w:r>
    </w:p>
    <w:p w14:paraId="2996BBF8" w14:textId="65231C64" w:rsidR="00BC7922" w:rsidRPr="005505C3" w:rsidRDefault="00BC7922" w:rsidP="00BC7922">
      <w:pPr>
        <w:pStyle w:val="ListBullet"/>
        <w:numPr>
          <w:ilvl w:val="0"/>
          <w:numId w:val="13"/>
        </w:numPr>
        <w:rPr>
          <w:rFonts w:ascii="Aptos" w:hAnsi="Aptos"/>
        </w:rPr>
      </w:pPr>
      <w:r w:rsidRPr="005505C3">
        <w:rPr>
          <w:rFonts w:ascii="Aptos" w:hAnsi="Aptos"/>
          <w:b/>
          <w:bCs/>
        </w:rPr>
        <w:lastRenderedPageBreak/>
        <w:t>Outreach and Education:</w:t>
      </w:r>
      <w:r w:rsidRPr="005505C3">
        <w:rPr>
          <w:rFonts w:ascii="Aptos" w:hAnsi="Aptos"/>
        </w:rPr>
        <w:t xml:space="preserve"> Participate in student and family recruitment events and deliver educational presentations on disability awareness, design</w:t>
      </w:r>
      <w:r w:rsidR="00A01F6E">
        <w:rPr>
          <w:rFonts w:ascii="Aptos" w:hAnsi="Aptos"/>
        </w:rPr>
        <w:t xml:space="preserve"> that is inclusive of students with disabilities</w:t>
      </w:r>
      <w:r w:rsidRPr="005505C3">
        <w:rPr>
          <w:rFonts w:ascii="Aptos" w:hAnsi="Aptos"/>
        </w:rPr>
        <w:t>, and disability culture.</w:t>
      </w:r>
    </w:p>
    <w:p w14:paraId="16B5D9FC" w14:textId="6D1CBE25" w:rsidR="00BC7922" w:rsidRPr="005505C3" w:rsidRDefault="00BC7922" w:rsidP="00BC7922">
      <w:pPr>
        <w:pStyle w:val="ListBullet"/>
        <w:numPr>
          <w:ilvl w:val="0"/>
          <w:numId w:val="13"/>
        </w:numPr>
        <w:rPr>
          <w:rFonts w:ascii="Aptos" w:hAnsi="Aptos"/>
        </w:rPr>
      </w:pPr>
      <w:r w:rsidRPr="005505C3">
        <w:rPr>
          <w:rFonts w:ascii="Aptos" w:hAnsi="Aptos"/>
          <w:b/>
          <w:bCs/>
        </w:rPr>
        <w:t>Accessibility as a Shared Responsibility:</w:t>
      </w:r>
      <w:r w:rsidRPr="005505C3">
        <w:rPr>
          <w:rFonts w:ascii="Aptos" w:hAnsi="Aptos"/>
        </w:rPr>
        <w:t xml:space="preserve"> Partner with campus divisions to showcase ways they can also create accessibility in their </w:t>
      </w:r>
      <w:r w:rsidR="00A01F6E" w:rsidRPr="005505C3">
        <w:rPr>
          <w:rFonts w:ascii="Aptos" w:hAnsi="Aptos"/>
        </w:rPr>
        <w:t>day-to-day</w:t>
      </w:r>
      <w:r w:rsidRPr="005505C3">
        <w:rPr>
          <w:rFonts w:ascii="Aptos" w:hAnsi="Aptos"/>
        </w:rPr>
        <w:t xml:space="preserve"> tasks and departments.</w:t>
      </w:r>
    </w:p>
    <w:p w14:paraId="5978578F" w14:textId="77777777" w:rsidR="00BC7922" w:rsidRPr="005505C3" w:rsidRDefault="00BC7922" w:rsidP="00BC7922">
      <w:pPr>
        <w:pStyle w:val="ListBullet"/>
        <w:numPr>
          <w:ilvl w:val="0"/>
          <w:numId w:val="13"/>
        </w:numPr>
        <w:rPr>
          <w:rFonts w:ascii="Aptos" w:hAnsi="Aptos"/>
        </w:rPr>
      </w:pPr>
      <w:r w:rsidRPr="005505C3">
        <w:rPr>
          <w:rFonts w:ascii="Aptos" w:hAnsi="Aptos"/>
          <w:b/>
          <w:bCs/>
        </w:rPr>
        <w:t>Facilities and Physical Access Consultation:</w:t>
      </w:r>
      <w:r w:rsidRPr="005505C3">
        <w:rPr>
          <w:rFonts w:ascii="Aptos" w:hAnsi="Aptos"/>
        </w:rPr>
        <w:t xml:space="preserve"> Advise on accessible physical design and wayfinding, contributing to new construction and renovation projects.</w:t>
      </w:r>
    </w:p>
    <w:p w14:paraId="78C3FFEF" w14:textId="01FEE28C" w:rsidR="00BC7922" w:rsidRPr="005505C3" w:rsidRDefault="00BC7922" w:rsidP="00BC7922">
      <w:pPr>
        <w:pStyle w:val="ListBullet"/>
        <w:numPr>
          <w:ilvl w:val="0"/>
          <w:numId w:val="13"/>
        </w:numPr>
        <w:rPr>
          <w:rFonts w:ascii="Aptos" w:hAnsi="Aptos"/>
        </w:rPr>
      </w:pPr>
      <w:r w:rsidRPr="005505C3">
        <w:rPr>
          <w:rFonts w:ascii="Aptos" w:hAnsi="Aptos"/>
          <w:b/>
          <w:bCs/>
        </w:rPr>
        <w:t>Housing, Dining, and Parking Coordination:</w:t>
      </w:r>
      <w:r w:rsidRPr="005505C3">
        <w:rPr>
          <w:rFonts w:ascii="Aptos" w:hAnsi="Aptos"/>
        </w:rPr>
        <w:t xml:space="preserve"> Maintain close collaboration with University Residences, Dining &amp; Culinary, and Parking Services to ensure e</w:t>
      </w:r>
      <w:r w:rsidR="00A01F6E">
        <w:rPr>
          <w:rFonts w:ascii="Aptos" w:hAnsi="Aptos"/>
        </w:rPr>
        <w:t>qual</w:t>
      </w:r>
      <w:r w:rsidRPr="005505C3">
        <w:rPr>
          <w:rFonts w:ascii="Aptos" w:hAnsi="Aptos"/>
        </w:rPr>
        <w:t xml:space="preserve"> access to essential campus services.</w:t>
      </w:r>
    </w:p>
    <w:p w14:paraId="123E5EC0" w14:textId="77777777" w:rsidR="00BC7922" w:rsidRPr="005505C3" w:rsidRDefault="00BC7922" w:rsidP="00BC7922">
      <w:pPr>
        <w:pStyle w:val="ListBullet"/>
        <w:numPr>
          <w:ilvl w:val="0"/>
          <w:numId w:val="13"/>
        </w:numPr>
        <w:rPr>
          <w:rFonts w:ascii="Aptos" w:hAnsi="Aptos"/>
        </w:rPr>
      </w:pPr>
      <w:r w:rsidRPr="005505C3">
        <w:rPr>
          <w:rFonts w:ascii="Aptos" w:hAnsi="Aptos"/>
          <w:b/>
          <w:bCs/>
        </w:rPr>
        <w:t>Legal and Policy Collaboration:</w:t>
      </w:r>
      <w:r w:rsidRPr="005505C3">
        <w:rPr>
          <w:rFonts w:ascii="Aptos" w:hAnsi="Aptos"/>
        </w:rPr>
        <w:t xml:space="preserve"> Work with the Office of Legal Counsel and the Office of Civil Rights on access-related policy and compliance matters.</w:t>
      </w:r>
    </w:p>
    <w:p w14:paraId="7DC5A704" w14:textId="77777777" w:rsidR="00BC7922" w:rsidRPr="005505C3" w:rsidRDefault="00BC7922" w:rsidP="00BC7922">
      <w:pPr>
        <w:pStyle w:val="Heading2"/>
        <w:rPr>
          <w:rFonts w:ascii="Aptos" w:hAnsi="Aptos"/>
        </w:rPr>
      </w:pPr>
      <w:r w:rsidRPr="005505C3">
        <w:rPr>
          <w:rFonts w:ascii="Aptos" w:hAnsi="Aptos"/>
        </w:rPr>
        <w:t>PROGRAM OUTCOMES</w:t>
      </w:r>
    </w:p>
    <w:p w14:paraId="22A5384B" w14:textId="77777777" w:rsidR="00BC7922" w:rsidRPr="005505C3" w:rsidRDefault="00BC7922" w:rsidP="00BC7922">
      <w:pPr>
        <w:rPr>
          <w:rFonts w:ascii="Aptos" w:hAnsi="Aptos"/>
        </w:rPr>
      </w:pPr>
      <w:r w:rsidRPr="005505C3">
        <w:rPr>
          <w:rFonts w:ascii="Aptos" w:hAnsi="Aptos"/>
        </w:rPr>
        <w:t>The DRC promotes an environment that reduces barriers for students so they can achieve equal access in all curricular and co-curricular activities. Through their engagement with the DRC, students will:</w:t>
      </w:r>
    </w:p>
    <w:p w14:paraId="376D6831" w14:textId="77777777" w:rsidR="00BC7922" w:rsidRPr="005505C3" w:rsidRDefault="00BC7922" w:rsidP="00BC7922">
      <w:pPr>
        <w:pStyle w:val="ListBullet"/>
        <w:numPr>
          <w:ilvl w:val="0"/>
          <w:numId w:val="13"/>
        </w:numPr>
        <w:rPr>
          <w:rFonts w:ascii="Aptos" w:hAnsi="Aptos"/>
        </w:rPr>
      </w:pPr>
      <w:r w:rsidRPr="005505C3">
        <w:rPr>
          <w:rFonts w:ascii="Aptos" w:hAnsi="Aptos"/>
          <w:b/>
          <w:bCs/>
        </w:rPr>
        <w:t>Understand Their Right to Equal Access:</w:t>
      </w:r>
      <w:r w:rsidRPr="005505C3">
        <w:rPr>
          <w:rFonts w:ascii="Aptos" w:hAnsi="Aptos"/>
        </w:rPr>
        <w:t xml:space="preserve"> Gain a deeper comprehension of their legal and institutional rights to equal access across all aspects of the university experience.</w:t>
      </w:r>
    </w:p>
    <w:p w14:paraId="7B42FC8F" w14:textId="77777777" w:rsidR="00BC7922" w:rsidRPr="005505C3" w:rsidRDefault="00BC7922" w:rsidP="00BC7922">
      <w:pPr>
        <w:pStyle w:val="ListBullet"/>
        <w:numPr>
          <w:ilvl w:val="0"/>
          <w:numId w:val="13"/>
        </w:numPr>
        <w:rPr>
          <w:rFonts w:ascii="Aptos" w:hAnsi="Aptos"/>
        </w:rPr>
      </w:pPr>
      <w:r w:rsidRPr="005505C3">
        <w:rPr>
          <w:rFonts w:ascii="Aptos" w:hAnsi="Aptos"/>
          <w:b/>
          <w:bCs/>
        </w:rPr>
        <w:t>Recognize Available DRC Services and Support:</w:t>
      </w:r>
      <w:r w:rsidRPr="005505C3">
        <w:rPr>
          <w:rFonts w:ascii="Aptos" w:hAnsi="Aptos"/>
        </w:rPr>
        <w:t xml:space="preserve"> Become familiar with the various DRC services available, including educational programming, course accommodation letters, testing accommodations and faculty collaboration.</w:t>
      </w:r>
    </w:p>
    <w:p w14:paraId="53DFF535" w14:textId="77777777" w:rsidR="00BC7922" w:rsidRPr="005505C3" w:rsidRDefault="00BC7922" w:rsidP="00BC7922">
      <w:pPr>
        <w:pStyle w:val="ListBullet"/>
        <w:numPr>
          <w:ilvl w:val="0"/>
          <w:numId w:val="13"/>
        </w:numPr>
        <w:rPr>
          <w:rFonts w:ascii="Aptos" w:hAnsi="Aptos"/>
        </w:rPr>
      </w:pPr>
      <w:r w:rsidRPr="005505C3">
        <w:rPr>
          <w:rFonts w:ascii="Aptos" w:hAnsi="Aptos"/>
          <w:b/>
          <w:bCs/>
        </w:rPr>
        <w:t>Clarify the DRC’s Facilitative Role:</w:t>
      </w:r>
      <w:r w:rsidRPr="005505C3">
        <w:rPr>
          <w:rFonts w:ascii="Aptos" w:hAnsi="Aptos"/>
        </w:rPr>
        <w:t xml:space="preserve"> Develop a clear understanding of the DRC’s role in facilitating accommodations and rely on DRC staff for support rather than independently negotiating with instructors.</w:t>
      </w:r>
    </w:p>
    <w:p w14:paraId="51CEC473" w14:textId="77777777" w:rsidR="00BC7922" w:rsidRPr="005505C3" w:rsidRDefault="00BC7922" w:rsidP="00BC7922">
      <w:pPr>
        <w:pStyle w:val="ListBullet"/>
        <w:numPr>
          <w:ilvl w:val="0"/>
          <w:numId w:val="13"/>
        </w:numPr>
        <w:rPr>
          <w:rFonts w:ascii="Aptos" w:hAnsi="Aptos"/>
        </w:rPr>
      </w:pPr>
      <w:r w:rsidRPr="005505C3">
        <w:rPr>
          <w:rFonts w:ascii="Aptos" w:hAnsi="Aptos"/>
          <w:b/>
          <w:bCs/>
        </w:rPr>
        <w:t>Achieve and Persist Academically:</w:t>
      </w:r>
      <w:r w:rsidRPr="005505C3">
        <w:rPr>
          <w:rFonts w:ascii="Aptos" w:hAnsi="Aptos"/>
        </w:rPr>
        <w:t xml:space="preserve"> Perform and persist at similar or better rates than their nondisabled peers, fostering academic success and retention.</w:t>
      </w:r>
    </w:p>
    <w:p w14:paraId="04535396" w14:textId="1C6D77AC" w:rsidR="00BC7922" w:rsidRPr="005505C3" w:rsidRDefault="00BC7922" w:rsidP="00BC7922">
      <w:pPr>
        <w:pStyle w:val="Heading2"/>
        <w:rPr>
          <w:rFonts w:ascii="Aptos" w:hAnsi="Aptos"/>
        </w:rPr>
      </w:pPr>
      <w:r w:rsidRPr="005505C3">
        <w:rPr>
          <w:rFonts w:ascii="Aptos" w:hAnsi="Aptos"/>
        </w:rPr>
        <w:t>NOTABLE CHANGES AND ACHIEVEMENTS FROM 202</w:t>
      </w:r>
      <w:r w:rsidR="00A15BFA">
        <w:rPr>
          <w:rFonts w:ascii="Aptos" w:hAnsi="Aptos"/>
        </w:rPr>
        <w:t>4</w:t>
      </w:r>
      <w:r w:rsidRPr="005505C3">
        <w:rPr>
          <w:rFonts w:ascii="Aptos" w:hAnsi="Aptos"/>
        </w:rPr>
        <w:t>–2</w:t>
      </w:r>
      <w:r w:rsidR="00A15BFA">
        <w:rPr>
          <w:rFonts w:ascii="Aptos" w:hAnsi="Aptos"/>
        </w:rPr>
        <w:t>5</w:t>
      </w:r>
    </w:p>
    <w:p w14:paraId="0BBA52E0" w14:textId="77777777" w:rsidR="00BC7922" w:rsidRPr="005505C3" w:rsidRDefault="00BC7922" w:rsidP="00BC7922">
      <w:pPr>
        <w:pStyle w:val="Heading3"/>
        <w:rPr>
          <w:rFonts w:ascii="Aptos" w:hAnsi="Aptos"/>
          <w:b/>
          <w:bCs/>
          <w:color w:val="auto"/>
        </w:rPr>
      </w:pPr>
      <w:r w:rsidRPr="005505C3">
        <w:rPr>
          <w:rFonts w:ascii="Aptos" w:hAnsi="Aptos"/>
          <w:b/>
          <w:bCs/>
          <w:color w:val="auto"/>
        </w:rPr>
        <w:t>Young Hall Relocation (West Lafayette)</w:t>
      </w:r>
    </w:p>
    <w:p w14:paraId="060A0364" w14:textId="1B9E3FA5" w:rsidR="00BC7922" w:rsidRPr="005505C3" w:rsidRDefault="00BC7922" w:rsidP="00BC7922">
      <w:pPr>
        <w:rPr>
          <w:rFonts w:ascii="Aptos" w:hAnsi="Aptos"/>
        </w:rPr>
      </w:pPr>
      <w:r w:rsidRPr="005505C3">
        <w:rPr>
          <w:rFonts w:ascii="Aptos" w:hAnsi="Aptos"/>
        </w:rPr>
        <w:t>In Summer 202</w:t>
      </w:r>
      <w:r w:rsidR="00A15BFA">
        <w:rPr>
          <w:rFonts w:ascii="Aptos" w:hAnsi="Aptos"/>
        </w:rPr>
        <w:t>5</w:t>
      </w:r>
      <w:r w:rsidRPr="005505C3">
        <w:rPr>
          <w:rFonts w:ascii="Aptos" w:hAnsi="Aptos"/>
        </w:rPr>
        <w:t>, the DRC relocated from the 8th floor to the 1st floor of Young Hall to create a more accessible, visible, and student-centered space. The new location removes significant physical and cognitive barriers to access, includes private consultation rooms, a dedicated collaboration space, and areas for Peer Mentor events and staff meetings. Early indicators show increased student engagement, improved show rates, and greater use of drop-in appointments. The relocation also prompted updated front-desk coverage, room scheduling processes, and wayfinding materials. The Young Hall relocation significantly improved physical accessibility and visibility, enhancing both student and staff experience.</w:t>
      </w:r>
    </w:p>
    <w:p w14:paraId="4930C6A7" w14:textId="77777777" w:rsidR="00BC7922" w:rsidRDefault="00BC7922" w:rsidP="00BC7922">
      <w:pPr>
        <w:pStyle w:val="Heading3"/>
        <w:rPr>
          <w:rFonts w:ascii="Aptos" w:hAnsi="Aptos"/>
          <w:b/>
          <w:bCs/>
          <w:color w:val="auto"/>
        </w:rPr>
      </w:pPr>
      <w:r w:rsidRPr="005505C3">
        <w:rPr>
          <w:rFonts w:ascii="Aptos" w:hAnsi="Aptos"/>
          <w:b/>
          <w:bCs/>
          <w:color w:val="auto"/>
        </w:rPr>
        <w:lastRenderedPageBreak/>
        <w:t>Unified Accessible Materials Unit</w:t>
      </w:r>
    </w:p>
    <w:p w14:paraId="075278CF" w14:textId="77777777" w:rsidR="001273A5" w:rsidRPr="001273A5" w:rsidRDefault="001273A5" w:rsidP="001273A5">
      <w:pPr>
        <w:rPr>
          <w:rFonts w:ascii="Aptos" w:hAnsi="Aptos"/>
        </w:rPr>
      </w:pPr>
      <w:r w:rsidRPr="001273A5">
        <w:rPr>
          <w:rFonts w:ascii="Aptos" w:hAnsi="Aptos"/>
        </w:rPr>
        <w:t>The DRC's Usable Materials Center and Alternative Formats teams merged into a unified Accessible Materials Unit during 2024-25, eliminating operational silos and creating a more efficient, cohesive system for producing accessible course materials, alternative format textbooks, and accommodated examinations. This strategic consolidation streamlined request intake, standardized production workflows, and enhanced faculty communication regarding specifications and timelines.</w:t>
      </w:r>
    </w:p>
    <w:p w14:paraId="01F1454A" w14:textId="36616368" w:rsidR="001273A5" w:rsidRPr="001273A5" w:rsidRDefault="001273A5" w:rsidP="001273A5">
      <w:pPr>
        <w:rPr>
          <w:rFonts w:ascii="Aptos" w:hAnsi="Aptos"/>
        </w:rPr>
      </w:pPr>
      <w:r w:rsidRPr="001273A5">
        <w:rPr>
          <w:rFonts w:ascii="Aptos" w:hAnsi="Aptos"/>
        </w:rPr>
        <w:t>The Assistant Director provides centralized oversight, coordinating intake processes, establishing prioritization protocols, ensuring academic integrity safeguards, and serving as the primary liaison with academic departments. Quality assurance procedures were substantially strengthened, including comprehensive version control systems, multi-step verification processes, and mandatory faculty confirmation before material release. These protocols minimize errors, protect exam security, and ensure accommodated materials maintain the same rigor as standard course content.</w:t>
      </w:r>
    </w:p>
    <w:p w14:paraId="1FFBE22E" w14:textId="54B7D1C3" w:rsidR="001273A5" w:rsidRPr="001273A5" w:rsidRDefault="001273A5" w:rsidP="001273A5">
      <w:pPr>
        <w:rPr>
          <w:rFonts w:ascii="Aptos" w:hAnsi="Aptos"/>
        </w:rPr>
      </w:pPr>
      <w:r w:rsidRPr="001273A5">
        <w:rPr>
          <w:rFonts w:ascii="Aptos" w:hAnsi="Aptos"/>
        </w:rPr>
        <w:t>The restructure has yielded tangible improvements: reduced turnaround times, fewer formatting errors, and increased faculty satisfaction with request procedures. As student needs evolve</w:t>
      </w:r>
      <w:r>
        <w:rPr>
          <w:rFonts w:ascii="Aptos" w:hAnsi="Aptos"/>
        </w:rPr>
        <w:t xml:space="preserve">, </w:t>
      </w:r>
      <w:r w:rsidRPr="001273A5">
        <w:rPr>
          <w:rFonts w:ascii="Aptos" w:hAnsi="Aptos"/>
        </w:rPr>
        <w:t>particularly regarding digital accessibility, complex STEM materials, and multimedia content</w:t>
      </w:r>
      <w:r>
        <w:rPr>
          <w:rFonts w:ascii="Aptos" w:hAnsi="Aptos"/>
        </w:rPr>
        <w:t xml:space="preserve">, </w:t>
      </w:r>
      <w:r w:rsidRPr="001273A5">
        <w:rPr>
          <w:rFonts w:ascii="Aptos" w:hAnsi="Aptos"/>
        </w:rPr>
        <w:t>the unit continues refining workflows and expanding capabilities to stay ahead of changing accessibility standards and ensure no student's learning is compromised by material barriers.</w:t>
      </w:r>
    </w:p>
    <w:p w14:paraId="4D0BE6D6" w14:textId="77777777" w:rsidR="00BC7922" w:rsidRPr="005505C3" w:rsidRDefault="00BC7922" w:rsidP="00BC7922">
      <w:pPr>
        <w:pStyle w:val="Heading3"/>
        <w:rPr>
          <w:rFonts w:ascii="Aptos" w:hAnsi="Aptos"/>
          <w:b/>
          <w:bCs/>
          <w:color w:val="auto"/>
        </w:rPr>
      </w:pPr>
      <w:r w:rsidRPr="005505C3">
        <w:rPr>
          <w:rFonts w:ascii="Aptos" w:hAnsi="Aptos"/>
          <w:b/>
          <w:bCs/>
          <w:color w:val="auto"/>
        </w:rPr>
        <w:t>Purdue Indianapolis Expansion</w:t>
      </w:r>
    </w:p>
    <w:p w14:paraId="1E68F2E3" w14:textId="6FF22DBD" w:rsidR="00BC7922" w:rsidRPr="005505C3" w:rsidRDefault="00BC7922" w:rsidP="00BC7922">
      <w:pPr>
        <w:rPr>
          <w:rFonts w:ascii="Aptos" w:hAnsi="Aptos"/>
        </w:rPr>
      </w:pPr>
      <w:r w:rsidRPr="005505C3">
        <w:rPr>
          <w:rFonts w:ascii="Aptos" w:hAnsi="Aptos"/>
        </w:rPr>
        <w:t xml:space="preserve">The 2024-25 academic year marked a significant milestone with the DRC's full-scale launch at Purdue Indianapolis. With two dedicated staff members, the Indianapolis office now serves approximately 200 registered students, representing 6.7% of </w:t>
      </w:r>
      <w:r w:rsidR="007E1895">
        <w:rPr>
          <w:rFonts w:ascii="Aptos" w:hAnsi="Aptos"/>
        </w:rPr>
        <w:t>that location’s</w:t>
      </w:r>
      <w:r w:rsidRPr="005505C3">
        <w:rPr>
          <w:rFonts w:ascii="Aptos" w:hAnsi="Aptos"/>
        </w:rPr>
        <w:t xml:space="preserve"> population, and operates a Testing Center to facilitate accommodated examinations.</w:t>
      </w:r>
    </w:p>
    <w:p w14:paraId="3B3AB80C" w14:textId="0BBE9422" w:rsidR="00BC7922" w:rsidRPr="005505C3" w:rsidRDefault="00BC7922" w:rsidP="00BC7922">
      <w:pPr>
        <w:rPr>
          <w:rFonts w:ascii="Aptos" w:hAnsi="Aptos"/>
        </w:rPr>
      </w:pPr>
      <w:r w:rsidRPr="005505C3">
        <w:rPr>
          <w:rFonts w:ascii="Aptos" w:hAnsi="Aptos"/>
        </w:rPr>
        <w:t>The Indianapolis team has established a strong campus presence through intentional relationship-building and strategic partnerships. Regular drop-in hours and targeted outreach, including personalized faculty tours of DRC spaces, have fostered collaborative relationships with academic departments and increased awareness of accommodation processes. The team has also forged essential partnerships with the Center for Instructional Excellence (CIE) as well as Housing to create a coordinated support network for students with disabilities.</w:t>
      </w:r>
    </w:p>
    <w:p w14:paraId="3F19D8AF" w14:textId="0F988237" w:rsidR="00F62A69" w:rsidRPr="005505C3" w:rsidRDefault="00F62A69" w:rsidP="00BC7922">
      <w:pPr>
        <w:pStyle w:val="Heading3"/>
        <w:rPr>
          <w:rFonts w:ascii="Aptos" w:hAnsi="Aptos"/>
          <w:b/>
          <w:bCs/>
          <w:color w:val="auto"/>
        </w:rPr>
      </w:pPr>
      <w:r w:rsidRPr="005505C3">
        <w:rPr>
          <w:rFonts w:ascii="Aptos" w:hAnsi="Aptos"/>
          <w:b/>
          <w:bCs/>
          <w:color w:val="auto"/>
        </w:rPr>
        <w:t>Operational and Process Improvements</w:t>
      </w:r>
    </w:p>
    <w:p w14:paraId="57ED0076" w14:textId="5F5F63B8" w:rsidR="00F62A69" w:rsidRPr="005505C3" w:rsidRDefault="00F62A69" w:rsidP="00F62A69">
      <w:pPr>
        <w:rPr>
          <w:rFonts w:ascii="Aptos" w:hAnsi="Aptos"/>
        </w:rPr>
      </w:pPr>
      <w:r w:rsidRPr="005505C3">
        <w:rPr>
          <w:rFonts w:ascii="Aptos" w:hAnsi="Aptos"/>
        </w:rPr>
        <w:t xml:space="preserve">The DRC invested significant effort this year in strengthening operational systems and clarifying policy frameworks across the organization. A major achievement was the standardization of all accommodation language across West Lafayette and Indianapolis campuses, ensuring consistent, </w:t>
      </w:r>
      <w:r w:rsidR="00A01F6E">
        <w:rPr>
          <w:rFonts w:ascii="Aptos" w:hAnsi="Aptos"/>
        </w:rPr>
        <w:t>effective</w:t>
      </w:r>
      <w:r w:rsidRPr="005505C3">
        <w:rPr>
          <w:rFonts w:ascii="Aptos" w:hAnsi="Aptos"/>
        </w:rPr>
        <w:t xml:space="preserve"> communication with students and faculty. The team also refined procedures for flexible attendance and deadline extensions, developing clearer guidelines that support both student success and faculty implementation. Standard operating procedures were formalized for furniture accommodations, housing modifications, accessible parking, and testing center operations, providing staff with structured protocols that enhance reliability and reduce ambiguity. The relocation to Young Hall catalyzed improvements in front-end operations, with redesigned communication templates and more efficient scheduling workflows that create a more welcoming and streamlined experience from students' first point of contact.</w:t>
      </w:r>
    </w:p>
    <w:p w14:paraId="5763A775" w14:textId="77777777" w:rsidR="00BC7922" w:rsidRPr="00F62A69" w:rsidRDefault="00BC7922" w:rsidP="00BC7922">
      <w:pPr>
        <w:pStyle w:val="Heading3"/>
        <w:rPr>
          <w:rFonts w:ascii="Aptos" w:hAnsi="Aptos"/>
          <w:b/>
          <w:bCs/>
          <w:color w:val="auto"/>
        </w:rPr>
      </w:pPr>
      <w:r w:rsidRPr="00F62A69">
        <w:rPr>
          <w:rFonts w:ascii="Aptos" w:hAnsi="Aptos"/>
          <w:b/>
          <w:bCs/>
          <w:color w:val="auto"/>
        </w:rPr>
        <w:lastRenderedPageBreak/>
        <w:t>Faculty and Campus Collaboration</w:t>
      </w:r>
    </w:p>
    <w:p w14:paraId="5E765C3D" w14:textId="11E34392" w:rsidR="00F62A69" w:rsidRPr="001273A5" w:rsidRDefault="00F62A69" w:rsidP="001273A5">
      <w:pPr>
        <w:rPr>
          <w:rFonts w:ascii="Aptos" w:hAnsi="Aptos"/>
        </w:rPr>
      </w:pPr>
      <w:r w:rsidRPr="001273A5">
        <w:rPr>
          <w:rFonts w:ascii="Aptos" w:hAnsi="Aptos"/>
        </w:rPr>
        <w:t xml:space="preserve">The DRC significantly strengthened its faculty partnerships this year through collaboration with the Center for Instructional Excellence, expanded proactive training initiatives, and sustained engagement of the Faculty Advisory Committee. Joint workshops and individualized consultations with CIE positioned accessibility as integral to instructional excellence rather than a compliance obligation, helping faculty integrate access considerations into course design from the beginning. Proactive training programs emphasized neurodiversity and Universal Design for Learning, equipping faculty with practical strategies for creating flexible learning environments that reduce barriers while maintaining academic standards—from diversified assessments to clearer assignment structures that benefit all students. The Faculty Advisory Committee continued providing essential </w:t>
      </w:r>
      <w:r w:rsidR="007E1895">
        <w:rPr>
          <w:rFonts w:ascii="Aptos" w:hAnsi="Aptos"/>
        </w:rPr>
        <w:t>faculty</w:t>
      </w:r>
      <w:r w:rsidRPr="001273A5">
        <w:rPr>
          <w:rFonts w:ascii="Aptos" w:hAnsi="Aptos"/>
        </w:rPr>
        <w:t xml:space="preserve"> perspectives and fostering shared responsibility for access across academic units. Together, these efforts cultivated stronger cross-campus relationships, </w:t>
      </w:r>
      <w:r w:rsidR="007E1895">
        <w:rPr>
          <w:rFonts w:ascii="Aptos" w:hAnsi="Aptos"/>
        </w:rPr>
        <w:t xml:space="preserve">and </w:t>
      </w:r>
      <w:r w:rsidRPr="001273A5">
        <w:rPr>
          <w:rFonts w:ascii="Aptos" w:hAnsi="Aptos"/>
        </w:rPr>
        <w:t>increased faculty confidence in accommodation implementation.</w:t>
      </w:r>
    </w:p>
    <w:p w14:paraId="42B9BDCD" w14:textId="7F3CE6FC" w:rsidR="00BC7922" w:rsidRPr="005505C3" w:rsidRDefault="00BC7922" w:rsidP="00BC7922">
      <w:pPr>
        <w:pStyle w:val="Heading3"/>
        <w:rPr>
          <w:rFonts w:ascii="Aptos" w:hAnsi="Aptos"/>
          <w:b/>
          <w:bCs/>
          <w:color w:val="auto"/>
          <w:sz w:val="22"/>
          <w:szCs w:val="22"/>
        </w:rPr>
      </w:pPr>
      <w:r w:rsidRPr="005505C3">
        <w:rPr>
          <w:rFonts w:ascii="Aptos" w:hAnsi="Aptos"/>
          <w:b/>
          <w:bCs/>
          <w:color w:val="auto"/>
          <w:sz w:val="22"/>
          <w:szCs w:val="22"/>
        </w:rPr>
        <w:t>Peer Mentor Program Growth</w:t>
      </w:r>
    </w:p>
    <w:p w14:paraId="43E1AFB9" w14:textId="77777777" w:rsidR="005505C3" w:rsidRPr="005505C3" w:rsidRDefault="005505C3" w:rsidP="005505C3">
      <w:pPr>
        <w:rPr>
          <w:rFonts w:ascii="Aptos" w:hAnsi="Aptos"/>
        </w:rPr>
      </w:pPr>
      <w:r w:rsidRPr="005505C3">
        <w:rPr>
          <w:rFonts w:ascii="Aptos" w:hAnsi="Aptos"/>
        </w:rPr>
        <w:t>The Peer Mentor Program experienced substantial growth in participation and impact during 2024-25, strengthened by enhanced infrastructure and intentional program development. The transition to Young Hall provided a dedicated collaboration space that accommodates larger gatherings and more interactive programming, directly contributing to increased student engagement. A graduate assistant now oversees program operations and mentor development, bringing structured coordination, consistent mentor training, and data-informed program refinement that strengthens both mentor capacity and participant outcomes.</w:t>
      </w:r>
    </w:p>
    <w:p w14:paraId="4EE434B3" w14:textId="149CE0F7" w:rsidR="005505C3" w:rsidRPr="005505C3" w:rsidRDefault="005505C3" w:rsidP="005505C3">
      <w:pPr>
        <w:rPr>
          <w:rFonts w:ascii="Aptos" w:hAnsi="Aptos"/>
        </w:rPr>
      </w:pPr>
      <w:r w:rsidRPr="005505C3">
        <w:rPr>
          <w:rFonts w:ascii="Aptos" w:hAnsi="Aptos"/>
        </w:rPr>
        <w:t xml:space="preserve">The program offered </w:t>
      </w:r>
      <w:r w:rsidR="00A01F6E">
        <w:rPr>
          <w:rFonts w:ascii="Aptos" w:hAnsi="Aptos"/>
        </w:rPr>
        <w:t>a wide range of</w:t>
      </w:r>
      <w:r w:rsidRPr="005505C3">
        <w:rPr>
          <w:rFonts w:ascii="Aptos" w:hAnsi="Aptos"/>
        </w:rPr>
        <w:t xml:space="preserve"> programming throughout the year designed to build community, develop skills, and support holistic wellbeing. Social events created informal spaces for connection and peer support, reducing isolation among students with disabilities. Educational workshops addressed practical topics including self-advocacy, disclosure strategies, and academic skills development. Student feedback consistently emphasizes the program's value in fostering authentic belonging, providing relatable role models, and building confidence in navigating both disability identity and university life.</w:t>
      </w:r>
    </w:p>
    <w:p w14:paraId="79281B88" w14:textId="76D9B6E9" w:rsidR="00BC7922" w:rsidRPr="005505C3" w:rsidRDefault="005505C3" w:rsidP="005505C3">
      <w:pPr>
        <w:pStyle w:val="Heading3"/>
        <w:rPr>
          <w:rFonts w:ascii="Aptos" w:hAnsi="Aptos"/>
          <w:b/>
          <w:bCs/>
          <w:color w:val="auto"/>
          <w:sz w:val="22"/>
          <w:szCs w:val="22"/>
        </w:rPr>
      </w:pPr>
      <w:r w:rsidRPr="005505C3">
        <w:rPr>
          <w:rFonts w:ascii="Aptos" w:hAnsi="Aptos"/>
          <w:b/>
          <w:bCs/>
          <w:color w:val="auto"/>
          <w:sz w:val="22"/>
          <w:szCs w:val="22"/>
        </w:rPr>
        <w:t xml:space="preserve">Professional Leadership and Engagement </w:t>
      </w:r>
    </w:p>
    <w:p w14:paraId="3F41C667" w14:textId="00F6F9EE" w:rsidR="00F62A69" w:rsidRPr="005505C3" w:rsidRDefault="005505C3" w:rsidP="001273A5">
      <w:pPr>
        <w:rPr>
          <w:rFonts w:ascii="Aptos" w:hAnsi="Aptos"/>
        </w:rPr>
      </w:pPr>
      <w:r w:rsidRPr="005505C3">
        <w:rPr>
          <w:rFonts w:ascii="Aptos" w:hAnsi="Aptos"/>
        </w:rPr>
        <w:t xml:space="preserve">The DRC team actively contributed to the broader disability services profession through conference presentations, leadership roles, and consultation work at national, regional, and state levels throughout 2024-25. Staff presented at prominent conferences including </w:t>
      </w:r>
      <w:hyperlink r:id="rId9" w:history="1">
        <w:r w:rsidRPr="007E1895">
          <w:rPr>
            <w:rStyle w:val="Hyperlink"/>
            <w:rFonts w:ascii="Aptos" w:hAnsi="Aptos"/>
          </w:rPr>
          <w:t>AHEAD</w:t>
        </w:r>
      </w:hyperlink>
      <w:r w:rsidRPr="005505C3">
        <w:rPr>
          <w:rFonts w:ascii="Aptos" w:hAnsi="Aptos"/>
        </w:rPr>
        <w:t xml:space="preserve">, </w:t>
      </w:r>
      <w:hyperlink r:id="rId10" w:history="1">
        <w:r w:rsidRPr="007E1895">
          <w:rPr>
            <w:rStyle w:val="Hyperlink"/>
            <w:rFonts w:ascii="Aptos" w:hAnsi="Aptos"/>
          </w:rPr>
          <w:t>NASPA</w:t>
        </w:r>
      </w:hyperlink>
      <w:r w:rsidRPr="005505C3">
        <w:rPr>
          <w:rFonts w:ascii="Aptos" w:hAnsi="Aptos"/>
        </w:rPr>
        <w:t xml:space="preserve">, </w:t>
      </w:r>
      <w:hyperlink r:id="rId11" w:history="1">
        <w:r w:rsidRPr="00CF501D">
          <w:rPr>
            <w:rStyle w:val="Hyperlink"/>
            <w:rFonts w:ascii="Aptos" w:hAnsi="Aptos"/>
          </w:rPr>
          <w:t>U</w:t>
        </w:r>
        <w:r w:rsidR="00CF501D" w:rsidRPr="00CF501D">
          <w:rPr>
            <w:rStyle w:val="Hyperlink"/>
            <w:rFonts w:ascii="Aptos" w:hAnsi="Aptos"/>
          </w:rPr>
          <w:t>E</w:t>
        </w:r>
        <w:r w:rsidRPr="00CF501D">
          <w:rPr>
            <w:rStyle w:val="Hyperlink"/>
            <w:rFonts w:ascii="Aptos" w:hAnsi="Aptos"/>
          </w:rPr>
          <w:t>RU</w:t>
        </w:r>
      </w:hyperlink>
      <w:r w:rsidRPr="005505C3">
        <w:rPr>
          <w:rFonts w:ascii="Aptos" w:hAnsi="Aptos"/>
        </w:rPr>
        <w:t xml:space="preserve">, and the </w:t>
      </w:r>
      <w:hyperlink r:id="rId12" w:history="1">
        <w:r w:rsidRPr="00CF501D">
          <w:rPr>
            <w:rStyle w:val="Hyperlink"/>
            <w:rFonts w:ascii="Aptos" w:hAnsi="Aptos"/>
          </w:rPr>
          <w:t>Gardner Institute</w:t>
        </w:r>
      </w:hyperlink>
      <w:r w:rsidRPr="005505C3">
        <w:rPr>
          <w:rFonts w:ascii="Aptos" w:hAnsi="Aptos"/>
        </w:rPr>
        <w:t xml:space="preserve"> Symposium, sharing innovative practices in accessibility and accommodation. Leadership contributions extended beyond presentations: a DRC team member serves as inaugural Chair of AHEAD's Certification Program Oversight Committee, directly shaping professional credentialing standards, while others hold positions within NASPA's Disability Knowledge Community and Accessibility Subcommittee. DRC professionals also provided consultation on physical access and universal design to institutions nationwide and maintained active leadership within Indiana AHEAD, supporting statewide professional development and collaboration. This sustained engagement positions Purdue's DRC as both an exemplary service provider and a thought leader advancing the field through scholarship, standard-setting, and professional community building.</w:t>
      </w:r>
      <w:r w:rsidR="007E1895">
        <w:rPr>
          <w:rFonts w:ascii="Aptos" w:hAnsi="Aptos"/>
        </w:rPr>
        <w:t xml:space="preserve"> </w:t>
      </w:r>
    </w:p>
    <w:p w14:paraId="7B0E3616" w14:textId="09EDF2D3" w:rsidR="00BC7922" w:rsidRPr="001273A5" w:rsidRDefault="00BC7922" w:rsidP="00BC7922">
      <w:pPr>
        <w:pStyle w:val="Heading3"/>
        <w:spacing w:before="281" w:after="281"/>
        <w:rPr>
          <w:rFonts w:ascii="Aptos" w:hAnsi="Aptos"/>
          <w:b/>
          <w:bCs/>
          <w:color w:val="auto"/>
          <w:sz w:val="22"/>
          <w:szCs w:val="22"/>
        </w:rPr>
      </w:pPr>
      <w:r w:rsidRPr="001273A5">
        <w:rPr>
          <w:rFonts w:ascii="Aptos" w:hAnsi="Aptos"/>
          <w:b/>
          <w:bCs/>
          <w:color w:val="auto"/>
          <w:sz w:val="22"/>
          <w:szCs w:val="22"/>
        </w:rPr>
        <w:lastRenderedPageBreak/>
        <w:t>INDIANA AHEAD Hosting (October 202</w:t>
      </w:r>
      <w:r w:rsidR="00A15BFA">
        <w:rPr>
          <w:rFonts w:ascii="Aptos" w:hAnsi="Aptos"/>
          <w:b/>
          <w:bCs/>
          <w:color w:val="auto"/>
          <w:sz w:val="22"/>
          <w:szCs w:val="22"/>
        </w:rPr>
        <w:t>5</w:t>
      </w:r>
      <w:r w:rsidRPr="001273A5">
        <w:rPr>
          <w:rFonts w:ascii="Aptos" w:hAnsi="Aptos"/>
          <w:b/>
          <w:bCs/>
          <w:color w:val="auto"/>
          <w:sz w:val="22"/>
          <w:szCs w:val="22"/>
        </w:rPr>
        <w:t>)</w:t>
      </w:r>
    </w:p>
    <w:p w14:paraId="6B3DE566" w14:textId="130B58B7" w:rsidR="00BC7922" w:rsidRPr="005505C3" w:rsidRDefault="00BC7922" w:rsidP="00BC7922">
      <w:pPr>
        <w:spacing w:before="240" w:after="240"/>
        <w:rPr>
          <w:rFonts w:ascii="Aptos" w:hAnsi="Aptos"/>
        </w:rPr>
      </w:pPr>
      <w:r w:rsidRPr="005505C3">
        <w:rPr>
          <w:rFonts w:ascii="Aptos" w:hAnsi="Aptos"/>
        </w:rPr>
        <w:t>The DRC hosted the Indiana</w:t>
      </w:r>
      <w:r w:rsidRPr="005505C3">
        <w:rPr>
          <w:rFonts w:ascii="Aptos" w:hAnsi="Aptos"/>
          <w:b/>
          <w:bCs/>
        </w:rPr>
        <w:t xml:space="preserve"> </w:t>
      </w:r>
      <w:r w:rsidRPr="005505C3">
        <w:rPr>
          <w:rFonts w:ascii="Aptos" w:hAnsi="Aptos"/>
        </w:rPr>
        <w:t>AHEAD Fall Conference on Purdue’s West Lafayette campus in October 202</w:t>
      </w:r>
      <w:r w:rsidR="00A15BFA">
        <w:rPr>
          <w:rFonts w:ascii="Aptos" w:hAnsi="Aptos"/>
        </w:rPr>
        <w:t>5</w:t>
      </w:r>
      <w:r w:rsidRPr="005505C3">
        <w:rPr>
          <w:rFonts w:ascii="Aptos" w:hAnsi="Aptos"/>
        </w:rPr>
        <w:t>. The event brought together disability resource professionals from across the state to share best practices, discuss emerging policy trends, and highlight Purdue’s commitment to leadership in accessibility. The DRC team facilitated sessions on proactive access, operational design, and collaboration across higher education institutions.</w:t>
      </w:r>
    </w:p>
    <w:p w14:paraId="40965A30" w14:textId="77777777" w:rsidR="00BC7922" w:rsidRPr="001273A5" w:rsidRDefault="00BC7922" w:rsidP="00BC7922">
      <w:pPr>
        <w:pStyle w:val="Heading3"/>
        <w:spacing w:before="281" w:after="281"/>
        <w:rPr>
          <w:rFonts w:ascii="Aptos" w:hAnsi="Aptos"/>
          <w:b/>
          <w:bCs/>
          <w:color w:val="auto"/>
          <w:sz w:val="22"/>
          <w:szCs w:val="22"/>
        </w:rPr>
      </w:pPr>
      <w:r w:rsidRPr="001273A5">
        <w:rPr>
          <w:rFonts w:ascii="Aptos" w:hAnsi="Aptos"/>
          <w:b/>
          <w:bCs/>
          <w:color w:val="auto"/>
          <w:sz w:val="22"/>
          <w:szCs w:val="22"/>
        </w:rPr>
        <w:t>Sensory-Friendly Tailgate</w:t>
      </w:r>
    </w:p>
    <w:p w14:paraId="7C789443" w14:textId="73BF156B" w:rsidR="001273A5" w:rsidRPr="001273A5" w:rsidRDefault="001273A5" w:rsidP="001273A5">
      <w:pPr>
        <w:spacing w:before="240" w:after="240"/>
        <w:rPr>
          <w:rFonts w:ascii="Aptos" w:hAnsi="Aptos"/>
        </w:rPr>
      </w:pPr>
      <w:r w:rsidRPr="001273A5">
        <w:rPr>
          <w:rFonts w:ascii="Aptos" w:hAnsi="Aptos"/>
        </w:rPr>
        <w:t>In Fall 202</w:t>
      </w:r>
      <w:r>
        <w:rPr>
          <w:rFonts w:ascii="Aptos" w:hAnsi="Aptos"/>
        </w:rPr>
        <w:t>5</w:t>
      </w:r>
      <w:r w:rsidRPr="001273A5">
        <w:rPr>
          <w:rFonts w:ascii="Aptos" w:hAnsi="Aptos"/>
        </w:rPr>
        <w:t xml:space="preserve">, the DRC launched Purdue's first Sensory-Friendly Tailgate in partnership with </w:t>
      </w:r>
      <w:r>
        <w:rPr>
          <w:rFonts w:ascii="Aptos" w:hAnsi="Aptos"/>
        </w:rPr>
        <w:t xml:space="preserve">the Peer Mentor Program, </w:t>
      </w:r>
      <w:r w:rsidRPr="001273A5">
        <w:rPr>
          <w:rFonts w:ascii="Aptos" w:hAnsi="Aptos"/>
        </w:rPr>
        <w:t xml:space="preserve">creating an inclusive gameday experience for students who benefit from reduced sensory stimulation. The inaugural event was intentionally </w:t>
      </w:r>
      <w:r w:rsidR="00A01F6E">
        <w:rPr>
          <w:rFonts w:ascii="Aptos" w:hAnsi="Aptos"/>
        </w:rPr>
        <w:t>minimal</w:t>
      </w:r>
      <w:r w:rsidRPr="001273A5">
        <w:rPr>
          <w:rFonts w:ascii="Aptos" w:hAnsi="Aptos"/>
        </w:rPr>
        <w:t xml:space="preserve"> in scale, hosted in the DRC's collaboration space to provide a comfortable alternative to traditional tailgate environments.</w:t>
      </w:r>
    </w:p>
    <w:p w14:paraId="630EBF13" w14:textId="008A5BA5" w:rsidR="00BC7922" w:rsidRPr="005505C3" w:rsidRDefault="001273A5" w:rsidP="00BC7922">
      <w:pPr>
        <w:spacing w:before="240" w:after="240"/>
        <w:rPr>
          <w:rFonts w:ascii="Aptos" w:hAnsi="Aptos"/>
        </w:rPr>
      </w:pPr>
      <w:r w:rsidRPr="001273A5">
        <w:rPr>
          <w:rFonts w:ascii="Aptos" w:hAnsi="Aptos"/>
        </w:rPr>
        <w:t xml:space="preserve">Attendees enjoyed a casual cookout, lawn games, and craft activities, with a football game streaming quietly in the background for ambient sensory input. The space incorporated quiet zones, accessible seating, visual supports, and </w:t>
      </w:r>
      <w:r>
        <w:rPr>
          <w:rFonts w:ascii="Aptos" w:hAnsi="Aptos"/>
        </w:rPr>
        <w:t>DRC staff</w:t>
      </w:r>
      <w:r w:rsidRPr="001273A5">
        <w:rPr>
          <w:rFonts w:ascii="Aptos" w:hAnsi="Aptos"/>
        </w:rPr>
        <w:t xml:space="preserve"> to ensure attendees could engage at their own comfort level. This pioneering event demonstrated the DRC's commitment to reimagining campus traditions through an accessibility lens, proving that school spirit and community can be designed to welcome sensory needs and participation styles.</w:t>
      </w:r>
    </w:p>
    <w:p w14:paraId="5BD99990" w14:textId="77777777" w:rsidR="00BC7922" w:rsidRPr="005505C3" w:rsidRDefault="00BC7922" w:rsidP="00BC7922">
      <w:pPr>
        <w:pStyle w:val="Heading2"/>
        <w:rPr>
          <w:rFonts w:ascii="Aptos" w:hAnsi="Aptos"/>
          <w:sz w:val="22"/>
          <w:szCs w:val="22"/>
        </w:rPr>
      </w:pPr>
      <w:r w:rsidRPr="005505C3">
        <w:rPr>
          <w:rFonts w:ascii="Aptos" w:hAnsi="Aptos"/>
          <w:sz w:val="22"/>
          <w:szCs w:val="22"/>
        </w:rPr>
        <w:t>PROGRAM ASSESSMENT</w:t>
      </w:r>
    </w:p>
    <w:p w14:paraId="45E517C2" w14:textId="77777777" w:rsidR="00BC7922" w:rsidRPr="005505C3" w:rsidRDefault="00BC7922" w:rsidP="00BC7922">
      <w:pPr>
        <w:rPr>
          <w:rFonts w:ascii="Aptos" w:hAnsi="Aptos"/>
        </w:rPr>
      </w:pPr>
      <w:r w:rsidRPr="005505C3">
        <w:rPr>
          <w:rFonts w:ascii="Aptos" w:hAnsi="Aptos"/>
        </w:rPr>
        <w:t xml:space="preserve">The 2024–25 academic year was marked by operational growth, organizational refinement, and national visibility. </w:t>
      </w:r>
    </w:p>
    <w:p w14:paraId="35B10FA5" w14:textId="560FB4E8" w:rsidR="00CF501D" w:rsidRDefault="00BC7922" w:rsidP="00F62A69">
      <w:pPr>
        <w:rPr>
          <w:rFonts w:ascii="Aptos" w:hAnsi="Aptos"/>
        </w:rPr>
      </w:pPr>
      <w:r w:rsidRPr="005505C3">
        <w:rPr>
          <w:rFonts w:ascii="Aptos" w:hAnsi="Aptos"/>
        </w:rPr>
        <w:t>Looking ahead, the DRC will assess the long-term impact of the Young Hall relocation on student engagement and service delivery, expand proactive access education for instructors through targeted faculty partnerships, strengthen operational consistency between West Lafayette and Indianapolis, and continue cultivating a university culture that recognizes access as a shared responsibility.</w:t>
      </w:r>
    </w:p>
    <w:p w14:paraId="09E4E70E" w14:textId="3C2CD465" w:rsidR="00BC7922" w:rsidRPr="003C13ED" w:rsidRDefault="00BC7922" w:rsidP="00BC7922">
      <w:pPr>
        <w:pStyle w:val="Title"/>
        <w:rPr>
          <w:rFonts w:ascii="Franklin Gothic Book" w:hAnsi="Franklin Gothic Book" w:cstheme="minorHAnsi"/>
          <w:b/>
          <w:bCs/>
          <w:sz w:val="32"/>
          <w:szCs w:val="32"/>
        </w:rPr>
      </w:pPr>
      <w:r w:rsidRPr="003C13ED">
        <w:rPr>
          <w:rFonts w:ascii="Franklin Gothic Book" w:hAnsi="Franklin Gothic Book"/>
          <w:b/>
          <w:bCs/>
          <w:sz w:val="32"/>
          <w:szCs w:val="32"/>
        </w:rPr>
        <w:t>2024-2025 DRC Data</w:t>
      </w:r>
    </w:p>
    <w:p w14:paraId="2D80B77D" w14:textId="77777777" w:rsidR="00BC7922" w:rsidRPr="003C13ED" w:rsidRDefault="00BC7922" w:rsidP="00BC7922">
      <w:pPr>
        <w:pStyle w:val="Heading2"/>
      </w:pPr>
      <w:bookmarkStart w:id="0" w:name="_Hlk179888137"/>
      <w:r w:rsidRPr="003C13ED">
        <w:t>Overall DRC Population</w:t>
      </w:r>
    </w:p>
    <w:p w14:paraId="3E0C011D" w14:textId="77777777" w:rsidR="00BC7922" w:rsidRPr="003C13ED" w:rsidRDefault="00BC7922" w:rsidP="00BC7922">
      <w:pPr>
        <w:pStyle w:val="Caption"/>
        <w:keepNext/>
        <w:jc w:val="center"/>
        <w:rPr>
          <w:rFonts w:ascii="Franklin Gothic Book" w:hAnsi="Franklin Gothic Book"/>
          <w:sz w:val="16"/>
          <w:szCs w:val="16"/>
        </w:rPr>
      </w:pPr>
      <w:r w:rsidRPr="003C13ED">
        <w:rPr>
          <w:rFonts w:ascii="Franklin Gothic Book" w:hAnsi="Franklin Gothic Book"/>
          <w:sz w:val="16"/>
          <w:szCs w:val="16"/>
        </w:rPr>
        <w:lastRenderedPageBreak/>
        <w:t xml:space="preserve">Figure </w:t>
      </w:r>
      <w:r w:rsidRPr="003C13ED">
        <w:rPr>
          <w:rFonts w:ascii="Franklin Gothic Book" w:hAnsi="Franklin Gothic Book"/>
          <w:sz w:val="16"/>
          <w:szCs w:val="16"/>
        </w:rPr>
        <w:fldChar w:fldCharType="begin"/>
      </w:r>
      <w:r w:rsidRPr="003C13ED">
        <w:rPr>
          <w:rFonts w:ascii="Franklin Gothic Book" w:hAnsi="Franklin Gothic Book"/>
          <w:sz w:val="16"/>
          <w:szCs w:val="16"/>
        </w:rPr>
        <w:instrText xml:space="preserve"> SEQ Figure \* ARABIC </w:instrText>
      </w:r>
      <w:r w:rsidRPr="003C13ED">
        <w:rPr>
          <w:rFonts w:ascii="Franklin Gothic Book" w:hAnsi="Franklin Gothic Book"/>
          <w:sz w:val="16"/>
          <w:szCs w:val="16"/>
        </w:rPr>
        <w:fldChar w:fldCharType="separate"/>
      </w:r>
      <w:r w:rsidRPr="003C13ED">
        <w:rPr>
          <w:rFonts w:ascii="Franklin Gothic Book" w:hAnsi="Franklin Gothic Book"/>
          <w:noProof/>
          <w:sz w:val="16"/>
          <w:szCs w:val="16"/>
        </w:rPr>
        <w:t>1</w:t>
      </w:r>
      <w:r w:rsidRPr="003C13ED">
        <w:rPr>
          <w:rFonts w:ascii="Franklin Gothic Book" w:hAnsi="Franklin Gothic Book"/>
          <w:noProof/>
          <w:sz w:val="16"/>
          <w:szCs w:val="16"/>
        </w:rPr>
        <w:fldChar w:fldCharType="end"/>
      </w:r>
      <w:r w:rsidRPr="003C13ED">
        <w:rPr>
          <w:rFonts w:ascii="Franklin Gothic Book" w:hAnsi="Franklin Gothic Book"/>
          <w:sz w:val="16"/>
          <w:szCs w:val="16"/>
        </w:rPr>
        <w:t>: Total DRC Students by Academic Year as a Percent of the Total Purdue Population</w:t>
      </w:r>
    </w:p>
    <w:p w14:paraId="6D93930B" w14:textId="77777777" w:rsidR="00BC7922" w:rsidRPr="003C13ED" w:rsidRDefault="00BC7922" w:rsidP="00BC7922">
      <w:pPr>
        <w:pStyle w:val="Caption"/>
        <w:keepNext/>
        <w:jc w:val="center"/>
        <w:rPr>
          <w:rFonts w:ascii="Franklin Gothic Book" w:hAnsi="Franklin Gothic Book"/>
          <w:sz w:val="16"/>
          <w:szCs w:val="16"/>
        </w:rPr>
      </w:pPr>
      <w:r w:rsidRPr="003C13ED">
        <w:rPr>
          <w:rFonts w:ascii="Franklin Gothic Book" w:hAnsi="Franklin Gothic Book"/>
          <w:noProof/>
          <w:sz w:val="16"/>
          <w:szCs w:val="16"/>
        </w:rPr>
        <w:drawing>
          <wp:inline distT="0" distB="0" distL="0" distR="0" wp14:anchorId="0797B385" wp14:editId="61CE9F80">
            <wp:extent cx="5086350" cy="3416300"/>
            <wp:effectExtent l="0" t="0" r="0" b="12700"/>
            <wp:docPr id="124242579" name="Chart 1">
              <a:extLst xmlns:a="http://schemas.openxmlformats.org/drawingml/2006/main">
                <a:ext uri="{FF2B5EF4-FFF2-40B4-BE49-F238E27FC236}">
                  <a16:creationId xmlns:a16="http://schemas.microsoft.com/office/drawing/2014/main" id="{00000000-0008-0000-08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7D0136" w14:textId="77777777" w:rsidR="00BC7922" w:rsidRPr="003C13ED" w:rsidRDefault="00BC7922" w:rsidP="00BC7922">
      <w:pPr>
        <w:pStyle w:val="Caption"/>
        <w:keepNext/>
        <w:jc w:val="center"/>
        <w:rPr>
          <w:rFonts w:ascii="Franklin Gothic Book" w:hAnsi="Franklin Gothic Book"/>
          <w:sz w:val="16"/>
          <w:szCs w:val="16"/>
        </w:rPr>
      </w:pPr>
      <w:r w:rsidRPr="003C13ED">
        <w:rPr>
          <w:rFonts w:ascii="Franklin Gothic Book" w:hAnsi="Franklin Gothic Book"/>
          <w:sz w:val="16"/>
          <w:szCs w:val="16"/>
        </w:rPr>
        <w:t xml:space="preserve">Figure </w:t>
      </w:r>
      <w:r w:rsidRPr="003C13ED">
        <w:rPr>
          <w:rFonts w:ascii="Franklin Gothic Book" w:hAnsi="Franklin Gothic Book"/>
          <w:sz w:val="16"/>
          <w:szCs w:val="16"/>
        </w:rPr>
        <w:fldChar w:fldCharType="begin"/>
      </w:r>
      <w:r w:rsidRPr="003C13ED">
        <w:rPr>
          <w:rFonts w:ascii="Franklin Gothic Book" w:hAnsi="Franklin Gothic Book"/>
          <w:sz w:val="16"/>
          <w:szCs w:val="16"/>
        </w:rPr>
        <w:instrText xml:space="preserve"> SEQ Figure \* ARABIC </w:instrText>
      </w:r>
      <w:r w:rsidRPr="003C13ED">
        <w:rPr>
          <w:rFonts w:ascii="Franklin Gothic Book" w:hAnsi="Franklin Gothic Book"/>
          <w:sz w:val="16"/>
          <w:szCs w:val="16"/>
        </w:rPr>
        <w:fldChar w:fldCharType="separate"/>
      </w:r>
      <w:r w:rsidRPr="003C13ED">
        <w:rPr>
          <w:rFonts w:ascii="Franklin Gothic Book" w:hAnsi="Franklin Gothic Book"/>
          <w:noProof/>
          <w:sz w:val="16"/>
          <w:szCs w:val="16"/>
        </w:rPr>
        <w:t>2</w:t>
      </w:r>
      <w:r w:rsidRPr="003C13ED">
        <w:rPr>
          <w:rFonts w:ascii="Franklin Gothic Book" w:hAnsi="Franklin Gothic Book"/>
          <w:noProof/>
          <w:sz w:val="16"/>
          <w:szCs w:val="16"/>
        </w:rPr>
        <w:fldChar w:fldCharType="end"/>
      </w:r>
      <w:r w:rsidRPr="003C13ED">
        <w:rPr>
          <w:rFonts w:ascii="Franklin Gothic Book" w:hAnsi="Franklin Gothic Book"/>
          <w:sz w:val="16"/>
          <w:szCs w:val="16"/>
        </w:rPr>
        <w:t>: Total DRC Students by Academic Year with Student Level</w:t>
      </w:r>
    </w:p>
    <w:p w14:paraId="43A443F7" w14:textId="77777777" w:rsidR="00BC7922" w:rsidRPr="003C13ED" w:rsidRDefault="00BC7922" w:rsidP="00BC7922">
      <w:pPr>
        <w:jc w:val="center"/>
        <w:rPr>
          <w:rFonts w:ascii="Franklin Gothic Book" w:hAnsi="Franklin Gothic Book"/>
          <w:sz w:val="20"/>
          <w:szCs w:val="20"/>
        </w:rPr>
      </w:pPr>
      <w:r w:rsidRPr="003C13ED">
        <w:rPr>
          <w:rFonts w:ascii="Franklin Gothic Book" w:hAnsi="Franklin Gothic Book"/>
          <w:noProof/>
          <w:sz w:val="20"/>
          <w:szCs w:val="20"/>
        </w:rPr>
        <w:drawing>
          <wp:inline distT="0" distB="0" distL="0" distR="0" wp14:anchorId="4EC9D574" wp14:editId="300EA8D2">
            <wp:extent cx="4852035" cy="3103245"/>
            <wp:effectExtent l="0" t="0" r="5715" b="1905"/>
            <wp:docPr id="1533984432" name="Chart 1" descr="Total DRC students by AY">
              <a:extLst xmlns:a="http://schemas.openxmlformats.org/drawingml/2006/main">
                <a:ext uri="{FF2B5EF4-FFF2-40B4-BE49-F238E27FC236}">
                  <a16:creationId xmlns:a16="http://schemas.microsoft.com/office/drawing/2014/main" id="{00000000-0008-0000-08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04249" w14:textId="77777777" w:rsidR="00BC7922" w:rsidRPr="003C13ED" w:rsidRDefault="00BC7922" w:rsidP="00BC7922">
      <w:pPr>
        <w:rPr>
          <w:rFonts w:ascii="Franklin Gothic Book" w:hAnsi="Franklin Gothic Book"/>
          <w:sz w:val="20"/>
          <w:szCs w:val="20"/>
        </w:rPr>
      </w:pPr>
    </w:p>
    <w:p w14:paraId="438B9F0B" w14:textId="77777777" w:rsidR="00BC7922" w:rsidRPr="005416F6" w:rsidRDefault="00BC7922" w:rsidP="00BC7922">
      <w:pPr>
        <w:rPr>
          <w:rFonts w:ascii="Calibri" w:hAnsi="Calibri" w:cs="Calibri"/>
        </w:rPr>
      </w:pPr>
      <w:r w:rsidRPr="005416F6">
        <w:rPr>
          <w:rFonts w:ascii="Calibri" w:hAnsi="Calibri" w:cs="Calibri"/>
        </w:rPr>
        <w:lastRenderedPageBreak/>
        <w:t>This past year marked the most significant single-year growth in DRC history, with registration increasing by nearly 1,000 students. The DRC now serves 9.5% of the West Lafayette campus population, reflecting both increased awareness of services and growing student needs.</w:t>
      </w:r>
    </w:p>
    <w:p w14:paraId="5E614F7F" w14:textId="77777777" w:rsidR="00BC7922" w:rsidRPr="003C13ED" w:rsidRDefault="00BC7922" w:rsidP="00BC7922">
      <w:pPr>
        <w:pStyle w:val="Heading2"/>
      </w:pPr>
      <w:r w:rsidRPr="003C13ED">
        <w:t>DRC Student Demographics</w:t>
      </w:r>
    </w:p>
    <w:p w14:paraId="5633A78F" w14:textId="77777777" w:rsidR="00BC7922" w:rsidRPr="003C13ED" w:rsidRDefault="00BC7922" w:rsidP="00BC7922">
      <w:pPr>
        <w:pStyle w:val="Caption"/>
        <w:keepNext/>
        <w:jc w:val="center"/>
        <w:rPr>
          <w:rFonts w:ascii="Franklin Gothic Book" w:hAnsi="Franklin Gothic Book"/>
        </w:rPr>
      </w:pPr>
      <w:r w:rsidRPr="003C13ED">
        <w:rPr>
          <w:rFonts w:ascii="Franklin Gothic Book" w:hAnsi="Franklin Gothic Book"/>
        </w:rPr>
        <w:t xml:space="preserve">Table </w:t>
      </w:r>
      <w:r w:rsidRPr="003C13ED">
        <w:rPr>
          <w:rFonts w:ascii="Franklin Gothic Book" w:hAnsi="Franklin Gothic Book"/>
          <w:noProof/>
        </w:rPr>
        <w:fldChar w:fldCharType="begin"/>
      </w:r>
      <w:r w:rsidRPr="003C13ED">
        <w:rPr>
          <w:rFonts w:ascii="Franklin Gothic Book" w:hAnsi="Franklin Gothic Book"/>
          <w:noProof/>
        </w:rPr>
        <w:instrText xml:space="preserve"> SEQ Table \* ARABIC </w:instrText>
      </w:r>
      <w:r w:rsidRPr="003C13ED">
        <w:rPr>
          <w:rFonts w:ascii="Franklin Gothic Book" w:hAnsi="Franklin Gothic Book"/>
          <w:noProof/>
        </w:rPr>
        <w:fldChar w:fldCharType="separate"/>
      </w:r>
      <w:r w:rsidRPr="003C13ED">
        <w:rPr>
          <w:rFonts w:ascii="Franklin Gothic Book" w:hAnsi="Franklin Gothic Book"/>
          <w:noProof/>
        </w:rPr>
        <w:t>1</w:t>
      </w:r>
      <w:r w:rsidRPr="003C13ED">
        <w:rPr>
          <w:rFonts w:ascii="Franklin Gothic Book" w:hAnsi="Franklin Gothic Book"/>
          <w:noProof/>
        </w:rPr>
        <w:fldChar w:fldCharType="end"/>
      </w:r>
      <w:r w:rsidRPr="003C13ED">
        <w:rPr>
          <w:rFonts w:ascii="Franklin Gothic Book" w:hAnsi="Franklin Gothic Book"/>
        </w:rPr>
        <w:t>: Total DRC Students by Academic Year</w:t>
      </w:r>
    </w:p>
    <w:tbl>
      <w:tblPr>
        <w:tblStyle w:val="PlainTable1"/>
        <w:tblW w:w="5000" w:type="pct"/>
        <w:tblLook w:val="04A0" w:firstRow="1" w:lastRow="0" w:firstColumn="1" w:lastColumn="0" w:noHBand="0" w:noVBand="1"/>
      </w:tblPr>
      <w:tblGrid>
        <w:gridCol w:w="1667"/>
        <w:gridCol w:w="839"/>
        <w:gridCol w:w="840"/>
        <w:gridCol w:w="840"/>
        <w:gridCol w:w="842"/>
        <w:gridCol w:w="840"/>
        <w:gridCol w:w="840"/>
        <w:gridCol w:w="842"/>
        <w:gridCol w:w="840"/>
        <w:gridCol w:w="840"/>
        <w:gridCol w:w="840"/>
      </w:tblGrid>
      <w:tr w:rsidR="00BC7922" w:rsidRPr="003C13ED" w14:paraId="5D4753E2" w14:textId="77777777" w:rsidTr="00C42096">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28" w:type="pct"/>
            <w:noWrap/>
            <w:vAlign w:val="center"/>
            <w:hideMark/>
          </w:tcPr>
          <w:p w14:paraId="16AFEC6C" w14:textId="77777777" w:rsidR="00BC7922" w:rsidRPr="0074026B" w:rsidRDefault="00BC7922" w:rsidP="00C42096">
            <w:pPr>
              <w:rPr>
                <w:rFonts w:ascii="Franklin Gothic Book" w:eastAsia="Times New Roman" w:hAnsi="Franklin Gothic Book" w:cs="Tahoma"/>
                <w:color w:val="000000"/>
                <w:sz w:val="18"/>
                <w:szCs w:val="18"/>
              </w:rPr>
            </w:pPr>
          </w:p>
        </w:tc>
        <w:tc>
          <w:tcPr>
            <w:tcW w:w="417" w:type="pct"/>
            <w:noWrap/>
            <w:vAlign w:val="center"/>
            <w:hideMark/>
          </w:tcPr>
          <w:p w14:paraId="760DAC0B"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2015-</w:t>
            </w:r>
          </w:p>
          <w:p w14:paraId="058E26C6"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2016</w:t>
            </w:r>
          </w:p>
        </w:tc>
        <w:tc>
          <w:tcPr>
            <w:tcW w:w="417" w:type="pct"/>
            <w:noWrap/>
            <w:vAlign w:val="center"/>
            <w:hideMark/>
          </w:tcPr>
          <w:p w14:paraId="39722850"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2016-</w:t>
            </w:r>
          </w:p>
          <w:p w14:paraId="6B81493F"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2017</w:t>
            </w:r>
          </w:p>
        </w:tc>
        <w:tc>
          <w:tcPr>
            <w:tcW w:w="417" w:type="pct"/>
            <w:noWrap/>
            <w:vAlign w:val="center"/>
            <w:hideMark/>
          </w:tcPr>
          <w:p w14:paraId="59E3DAF7"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2017-</w:t>
            </w:r>
          </w:p>
          <w:p w14:paraId="155410EC"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2018</w:t>
            </w:r>
          </w:p>
        </w:tc>
        <w:tc>
          <w:tcPr>
            <w:tcW w:w="418" w:type="pct"/>
            <w:vAlign w:val="center"/>
          </w:tcPr>
          <w:p w14:paraId="5519E362"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2018-</w:t>
            </w:r>
          </w:p>
          <w:p w14:paraId="5D35028A"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2019</w:t>
            </w:r>
          </w:p>
        </w:tc>
        <w:tc>
          <w:tcPr>
            <w:tcW w:w="417" w:type="pct"/>
            <w:vAlign w:val="center"/>
          </w:tcPr>
          <w:p w14:paraId="55AF3D1A"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2019-</w:t>
            </w:r>
          </w:p>
          <w:p w14:paraId="3EC7E789"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2020</w:t>
            </w:r>
          </w:p>
        </w:tc>
        <w:tc>
          <w:tcPr>
            <w:tcW w:w="417" w:type="pct"/>
            <w:vAlign w:val="center"/>
          </w:tcPr>
          <w:p w14:paraId="160A4B7D"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2020-</w:t>
            </w:r>
          </w:p>
          <w:p w14:paraId="23FEB049"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2021</w:t>
            </w:r>
          </w:p>
        </w:tc>
        <w:tc>
          <w:tcPr>
            <w:tcW w:w="418" w:type="pct"/>
            <w:vAlign w:val="center"/>
          </w:tcPr>
          <w:p w14:paraId="7CBDAAFF"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2021-</w:t>
            </w:r>
          </w:p>
          <w:p w14:paraId="1355E79C"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2022</w:t>
            </w:r>
          </w:p>
        </w:tc>
        <w:tc>
          <w:tcPr>
            <w:tcW w:w="417" w:type="pct"/>
            <w:vAlign w:val="center"/>
          </w:tcPr>
          <w:p w14:paraId="61A2FF98"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2022-</w:t>
            </w:r>
          </w:p>
          <w:p w14:paraId="453465B3"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eastAsia="Times New Roman" w:hAnsi="Franklin Gothic Book" w:cs="Tahoma"/>
                <w:color w:val="000000"/>
                <w:sz w:val="18"/>
                <w:szCs w:val="18"/>
              </w:rPr>
              <w:t>2023</w:t>
            </w:r>
          </w:p>
        </w:tc>
        <w:tc>
          <w:tcPr>
            <w:tcW w:w="417" w:type="pct"/>
            <w:vAlign w:val="center"/>
          </w:tcPr>
          <w:p w14:paraId="062E6B0F"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18"/>
                <w:szCs w:val="18"/>
              </w:rPr>
            </w:pPr>
            <w:r w:rsidRPr="0074026B">
              <w:rPr>
                <w:rFonts w:ascii="Franklin Gothic Book" w:hAnsi="Franklin Gothic Book"/>
                <w:sz w:val="18"/>
                <w:szCs w:val="18"/>
              </w:rPr>
              <w:t>2023-</w:t>
            </w:r>
          </w:p>
          <w:p w14:paraId="3DCDC88F"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74026B">
              <w:rPr>
                <w:rFonts w:ascii="Franklin Gothic Book" w:hAnsi="Franklin Gothic Book"/>
                <w:sz w:val="18"/>
                <w:szCs w:val="18"/>
              </w:rPr>
              <w:t>2024</w:t>
            </w:r>
          </w:p>
        </w:tc>
        <w:tc>
          <w:tcPr>
            <w:tcW w:w="418" w:type="pct"/>
            <w:vAlign w:val="center"/>
          </w:tcPr>
          <w:p w14:paraId="1A93F2F0"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18"/>
                <w:szCs w:val="18"/>
              </w:rPr>
            </w:pPr>
            <w:r w:rsidRPr="0074026B">
              <w:rPr>
                <w:rFonts w:ascii="Franklin Gothic Book" w:hAnsi="Franklin Gothic Book"/>
                <w:sz w:val="18"/>
                <w:szCs w:val="18"/>
              </w:rPr>
              <w:t>2024-</w:t>
            </w:r>
          </w:p>
          <w:p w14:paraId="38DBA4A0" w14:textId="77777777" w:rsidR="00BC7922" w:rsidRPr="0074026B"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18"/>
                <w:szCs w:val="18"/>
              </w:rPr>
            </w:pPr>
            <w:r w:rsidRPr="0074026B">
              <w:rPr>
                <w:rFonts w:ascii="Franklin Gothic Book" w:hAnsi="Franklin Gothic Book"/>
                <w:sz w:val="18"/>
                <w:szCs w:val="18"/>
              </w:rPr>
              <w:t>2025</w:t>
            </w:r>
          </w:p>
        </w:tc>
      </w:tr>
      <w:tr w:rsidR="00BC7922" w:rsidRPr="003C13ED" w14:paraId="30DD67D6" w14:textId="77777777" w:rsidTr="00C42096">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28" w:type="pct"/>
            <w:noWrap/>
            <w:vAlign w:val="center"/>
            <w:hideMark/>
          </w:tcPr>
          <w:p w14:paraId="1469E311" w14:textId="77777777" w:rsidR="00BC7922" w:rsidRPr="003C13ED" w:rsidRDefault="00BC7922" w:rsidP="00C42096">
            <w:pPr>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Undergraduate</w:t>
            </w:r>
          </w:p>
        </w:tc>
        <w:tc>
          <w:tcPr>
            <w:tcW w:w="417" w:type="pct"/>
            <w:noWrap/>
            <w:vAlign w:val="center"/>
            <w:hideMark/>
          </w:tcPr>
          <w:p w14:paraId="3D38AE1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1239</w:t>
            </w:r>
          </w:p>
        </w:tc>
        <w:tc>
          <w:tcPr>
            <w:tcW w:w="417" w:type="pct"/>
            <w:noWrap/>
            <w:vAlign w:val="center"/>
            <w:hideMark/>
          </w:tcPr>
          <w:p w14:paraId="427C451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1363</w:t>
            </w:r>
          </w:p>
        </w:tc>
        <w:tc>
          <w:tcPr>
            <w:tcW w:w="417" w:type="pct"/>
            <w:noWrap/>
            <w:vAlign w:val="center"/>
            <w:hideMark/>
          </w:tcPr>
          <w:p w14:paraId="3473197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1810</w:t>
            </w:r>
          </w:p>
        </w:tc>
        <w:tc>
          <w:tcPr>
            <w:tcW w:w="418" w:type="pct"/>
            <w:vAlign w:val="center"/>
          </w:tcPr>
          <w:p w14:paraId="3EA48DB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2366</w:t>
            </w:r>
          </w:p>
        </w:tc>
        <w:tc>
          <w:tcPr>
            <w:tcW w:w="417" w:type="pct"/>
            <w:vAlign w:val="center"/>
          </w:tcPr>
          <w:p w14:paraId="49DEB5F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2729</w:t>
            </w:r>
          </w:p>
        </w:tc>
        <w:tc>
          <w:tcPr>
            <w:tcW w:w="417" w:type="pct"/>
            <w:vAlign w:val="center"/>
          </w:tcPr>
          <w:p w14:paraId="7FF7E64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2644</w:t>
            </w:r>
          </w:p>
        </w:tc>
        <w:tc>
          <w:tcPr>
            <w:tcW w:w="418" w:type="pct"/>
            <w:vAlign w:val="center"/>
          </w:tcPr>
          <w:p w14:paraId="6449FCF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3065</w:t>
            </w:r>
          </w:p>
        </w:tc>
        <w:tc>
          <w:tcPr>
            <w:tcW w:w="417" w:type="pct"/>
            <w:vAlign w:val="center"/>
          </w:tcPr>
          <w:p w14:paraId="0579B0F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3519</w:t>
            </w:r>
          </w:p>
        </w:tc>
        <w:tc>
          <w:tcPr>
            <w:tcW w:w="417" w:type="pct"/>
            <w:vAlign w:val="center"/>
          </w:tcPr>
          <w:p w14:paraId="2886165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hAnsi="Franklin Gothic Book"/>
                <w:sz w:val="18"/>
                <w:szCs w:val="18"/>
              </w:rPr>
              <w:t>4133</w:t>
            </w:r>
          </w:p>
        </w:tc>
        <w:tc>
          <w:tcPr>
            <w:tcW w:w="418" w:type="pct"/>
            <w:vAlign w:val="center"/>
          </w:tcPr>
          <w:p w14:paraId="3B1507E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r w:rsidRPr="003C13ED">
              <w:rPr>
                <w:rFonts w:ascii="Franklin Gothic Book" w:hAnsi="Franklin Gothic Book"/>
                <w:sz w:val="18"/>
                <w:szCs w:val="18"/>
              </w:rPr>
              <w:t>4</w:t>
            </w:r>
            <w:r>
              <w:rPr>
                <w:rFonts w:ascii="Franklin Gothic Book" w:hAnsi="Franklin Gothic Book"/>
                <w:sz w:val="18"/>
                <w:szCs w:val="18"/>
              </w:rPr>
              <w:t>877</w:t>
            </w:r>
          </w:p>
        </w:tc>
      </w:tr>
      <w:tr w:rsidR="00BC7922" w:rsidRPr="003C13ED" w14:paraId="08E44697" w14:textId="77777777" w:rsidTr="00C42096">
        <w:trPr>
          <w:trHeight w:val="355"/>
        </w:trPr>
        <w:tc>
          <w:tcPr>
            <w:cnfStyle w:val="001000000000" w:firstRow="0" w:lastRow="0" w:firstColumn="1" w:lastColumn="0" w:oddVBand="0" w:evenVBand="0" w:oddHBand="0" w:evenHBand="0" w:firstRowFirstColumn="0" w:firstRowLastColumn="0" w:lastRowFirstColumn="0" w:lastRowLastColumn="0"/>
            <w:tcW w:w="828" w:type="pct"/>
            <w:noWrap/>
            <w:vAlign w:val="center"/>
            <w:hideMark/>
          </w:tcPr>
          <w:p w14:paraId="38E54FB0" w14:textId="77777777" w:rsidR="00BC7922" w:rsidRPr="003C13ED" w:rsidRDefault="00BC7922" w:rsidP="00C42096">
            <w:pPr>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Graduate</w:t>
            </w:r>
          </w:p>
        </w:tc>
        <w:tc>
          <w:tcPr>
            <w:tcW w:w="417" w:type="pct"/>
            <w:noWrap/>
            <w:vAlign w:val="center"/>
            <w:hideMark/>
          </w:tcPr>
          <w:p w14:paraId="502EEFB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135</w:t>
            </w:r>
          </w:p>
        </w:tc>
        <w:tc>
          <w:tcPr>
            <w:tcW w:w="417" w:type="pct"/>
            <w:noWrap/>
            <w:vAlign w:val="center"/>
            <w:hideMark/>
          </w:tcPr>
          <w:p w14:paraId="33AE7AE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144</w:t>
            </w:r>
          </w:p>
        </w:tc>
        <w:tc>
          <w:tcPr>
            <w:tcW w:w="417" w:type="pct"/>
            <w:noWrap/>
            <w:vAlign w:val="center"/>
            <w:hideMark/>
          </w:tcPr>
          <w:p w14:paraId="47AE81D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160</w:t>
            </w:r>
          </w:p>
        </w:tc>
        <w:tc>
          <w:tcPr>
            <w:tcW w:w="418" w:type="pct"/>
            <w:vAlign w:val="center"/>
          </w:tcPr>
          <w:p w14:paraId="0CB88B6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202</w:t>
            </w:r>
          </w:p>
        </w:tc>
        <w:tc>
          <w:tcPr>
            <w:tcW w:w="417" w:type="pct"/>
            <w:vAlign w:val="center"/>
          </w:tcPr>
          <w:p w14:paraId="1EC87D8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257</w:t>
            </w:r>
          </w:p>
        </w:tc>
        <w:tc>
          <w:tcPr>
            <w:tcW w:w="417" w:type="pct"/>
            <w:vAlign w:val="center"/>
          </w:tcPr>
          <w:p w14:paraId="0C857E9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298</w:t>
            </w:r>
          </w:p>
        </w:tc>
        <w:tc>
          <w:tcPr>
            <w:tcW w:w="418" w:type="pct"/>
            <w:vAlign w:val="center"/>
          </w:tcPr>
          <w:p w14:paraId="78561DB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373</w:t>
            </w:r>
          </w:p>
        </w:tc>
        <w:tc>
          <w:tcPr>
            <w:tcW w:w="417" w:type="pct"/>
            <w:vAlign w:val="center"/>
          </w:tcPr>
          <w:p w14:paraId="1ABE5AB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372</w:t>
            </w:r>
          </w:p>
        </w:tc>
        <w:tc>
          <w:tcPr>
            <w:tcW w:w="417" w:type="pct"/>
            <w:vAlign w:val="center"/>
          </w:tcPr>
          <w:p w14:paraId="13AB97C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hAnsi="Franklin Gothic Book"/>
                <w:sz w:val="18"/>
                <w:szCs w:val="18"/>
              </w:rPr>
              <w:t>421</w:t>
            </w:r>
          </w:p>
        </w:tc>
        <w:tc>
          <w:tcPr>
            <w:tcW w:w="418" w:type="pct"/>
            <w:vAlign w:val="center"/>
          </w:tcPr>
          <w:p w14:paraId="38EA204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598</w:t>
            </w:r>
          </w:p>
        </w:tc>
      </w:tr>
      <w:tr w:rsidR="00BC7922" w:rsidRPr="003C13ED" w14:paraId="53118A40" w14:textId="77777777" w:rsidTr="00C42096">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28" w:type="pct"/>
            <w:noWrap/>
            <w:vAlign w:val="center"/>
            <w:hideMark/>
          </w:tcPr>
          <w:p w14:paraId="3874D4B0" w14:textId="77777777" w:rsidR="00BC7922" w:rsidRPr="003C13ED" w:rsidRDefault="00BC7922" w:rsidP="00C42096">
            <w:pPr>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Professional</w:t>
            </w:r>
          </w:p>
        </w:tc>
        <w:tc>
          <w:tcPr>
            <w:tcW w:w="417" w:type="pct"/>
            <w:noWrap/>
            <w:vAlign w:val="center"/>
            <w:hideMark/>
          </w:tcPr>
          <w:p w14:paraId="751048D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30</w:t>
            </w:r>
          </w:p>
        </w:tc>
        <w:tc>
          <w:tcPr>
            <w:tcW w:w="417" w:type="pct"/>
            <w:noWrap/>
            <w:vAlign w:val="center"/>
            <w:hideMark/>
          </w:tcPr>
          <w:p w14:paraId="0CC839D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33</w:t>
            </w:r>
          </w:p>
        </w:tc>
        <w:tc>
          <w:tcPr>
            <w:tcW w:w="417" w:type="pct"/>
            <w:noWrap/>
            <w:vAlign w:val="center"/>
            <w:hideMark/>
          </w:tcPr>
          <w:p w14:paraId="785F311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50</w:t>
            </w:r>
          </w:p>
        </w:tc>
        <w:tc>
          <w:tcPr>
            <w:tcW w:w="418" w:type="pct"/>
            <w:vAlign w:val="center"/>
          </w:tcPr>
          <w:p w14:paraId="76EB063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54</w:t>
            </w:r>
          </w:p>
        </w:tc>
        <w:tc>
          <w:tcPr>
            <w:tcW w:w="417" w:type="pct"/>
            <w:vAlign w:val="center"/>
          </w:tcPr>
          <w:p w14:paraId="315B25B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59</w:t>
            </w:r>
          </w:p>
        </w:tc>
        <w:tc>
          <w:tcPr>
            <w:tcW w:w="417" w:type="pct"/>
            <w:vAlign w:val="center"/>
          </w:tcPr>
          <w:p w14:paraId="10C2589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74</w:t>
            </w:r>
          </w:p>
        </w:tc>
        <w:tc>
          <w:tcPr>
            <w:tcW w:w="418" w:type="pct"/>
            <w:vAlign w:val="center"/>
          </w:tcPr>
          <w:p w14:paraId="0ACE39E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81</w:t>
            </w:r>
          </w:p>
        </w:tc>
        <w:tc>
          <w:tcPr>
            <w:tcW w:w="417" w:type="pct"/>
            <w:vAlign w:val="center"/>
          </w:tcPr>
          <w:p w14:paraId="2491307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101</w:t>
            </w:r>
          </w:p>
        </w:tc>
        <w:tc>
          <w:tcPr>
            <w:tcW w:w="417" w:type="pct"/>
            <w:vAlign w:val="center"/>
          </w:tcPr>
          <w:p w14:paraId="70FCDFE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hAnsi="Franklin Gothic Book"/>
                <w:sz w:val="18"/>
                <w:szCs w:val="18"/>
              </w:rPr>
              <w:t>117</w:t>
            </w:r>
          </w:p>
        </w:tc>
        <w:tc>
          <w:tcPr>
            <w:tcW w:w="418" w:type="pct"/>
            <w:vAlign w:val="center"/>
          </w:tcPr>
          <w:p w14:paraId="3026943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r w:rsidRPr="003C13ED">
              <w:rPr>
                <w:rFonts w:ascii="Franklin Gothic Book" w:hAnsi="Franklin Gothic Book"/>
                <w:sz w:val="18"/>
                <w:szCs w:val="18"/>
              </w:rPr>
              <w:t>1</w:t>
            </w:r>
            <w:r>
              <w:rPr>
                <w:rFonts w:ascii="Franklin Gothic Book" w:hAnsi="Franklin Gothic Book"/>
                <w:sz w:val="18"/>
                <w:szCs w:val="18"/>
              </w:rPr>
              <w:t>39</w:t>
            </w:r>
          </w:p>
        </w:tc>
      </w:tr>
      <w:tr w:rsidR="00BC7922" w:rsidRPr="003C13ED" w14:paraId="26E38EE5" w14:textId="77777777" w:rsidTr="00C42096">
        <w:trPr>
          <w:trHeight w:val="355"/>
        </w:trPr>
        <w:tc>
          <w:tcPr>
            <w:cnfStyle w:val="001000000000" w:firstRow="0" w:lastRow="0" w:firstColumn="1" w:lastColumn="0" w:oddVBand="0" w:evenVBand="0" w:oddHBand="0" w:evenHBand="0" w:firstRowFirstColumn="0" w:firstRowLastColumn="0" w:lastRowFirstColumn="0" w:lastRowLastColumn="0"/>
            <w:tcW w:w="828" w:type="pct"/>
            <w:noWrap/>
            <w:vAlign w:val="center"/>
            <w:hideMark/>
          </w:tcPr>
          <w:p w14:paraId="62F1ABE3" w14:textId="77777777" w:rsidR="00BC7922" w:rsidRPr="003C13ED" w:rsidRDefault="00BC7922" w:rsidP="00C42096">
            <w:pPr>
              <w:rPr>
                <w:rFonts w:ascii="Franklin Gothic Book" w:eastAsia="Times New Roman" w:hAnsi="Franklin Gothic Book" w:cs="Tahoma"/>
                <w:b w:val="0"/>
                <w:bCs w:val="0"/>
                <w:color w:val="000000"/>
                <w:sz w:val="18"/>
                <w:szCs w:val="18"/>
              </w:rPr>
            </w:pPr>
            <w:r w:rsidRPr="003C13ED">
              <w:rPr>
                <w:rFonts w:ascii="Franklin Gothic Book" w:eastAsia="Times New Roman" w:hAnsi="Franklin Gothic Book" w:cs="Tahoma"/>
                <w:color w:val="000000"/>
                <w:sz w:val="18"/>
                <w:szCs w:val="18"/>
              </w:rPr>
              <w:t>Total</w:t>
            </w:r>
          </w:p>
        </w:tc>
        <w:tc>
          <w:tcPr>
            <w:tcW w:w="417" w:type="pct"/>
            <w:noWrap/>
            <w:vAlign w:val="center"/>
            <w:hideMark/>
          </w:tcPr>
          <w:p w14:paraId="6C5C203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1404</w:t>
            </w:r>
          </w:p>
        </w:tc>
        <w:tc>
          <w:tcPr>
            <w:tcW w:w="417" w:type="pct"/>
            <w:noWrap/>
            <w:vAlign w:val="center"/>
            <w:hideMark/>
          </w:tcPr>
          <w:p w14:paraId="254CEEB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1540</w:t>
            </w:r>
          </w:p>
        </w:tc>
        <w:tc>
          <w:tcPr>
            <w:tcW w:w="417" w:type="pct"/>
            <w:noWrap/>
            <w:vAlign w:val="center"/>
            <w:hideMark/>
          </w:tcPr>
          <w:p w14:paraId="136FC62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2020</w:t>
            </w:r>
          </w:p>
        </w:tc>
        <w:tc>
          <w:tcPr>
            <w:tcW w:w="418" w:type="pct"/>
            <w:vAlign w:val="center"/>
          </w:tcPr>
          <w:p w14:paraId="42121C9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2622</w:t>
            </w:r>
          </w:p>
        </w:tc>
        <w:tc>
          <w:tcPr>
            <w:tcW w:w="417" w:type="pct"/>
            <w:vAlign w:val="center"/>
          </w:tcPr>
          <w:p w14:paraId="4BE0875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3049</w:t>
            </w:r>
          </w:p>
        </w:tc>
        <w:tc>
          <w:tcPr>
            <w:tcW w:w="417" w:type="pct"/>
            <w:vAlign w:val="center"/>
          </w:tcPr>
          <w:p w14:paraId="7FB4889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3016</w:t>
            </w:r>
          </w:p>
        </w:tc>
        <w:tc>
          <w:tcPr>
            <w:tcW w:w="418" w:type="pct"/>
            <w:vAlign w:val="center"/>
          </w:tcPr>
          <w:p w14:paraId="4BE9ECD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3519</w:t>
            </w:r>
          </w:p>
        </w:tc>
        <w:tc>
          <w:tcPr>
            <w:tcW w:w="417" w:type="pct"/>
            <w:vAlign w:val="center"/>
          </w:tcPr>
          <w:p w14:paraId="682FCD0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eastAsia="Times New Roman" w:hAnsi="Franklin Gothic Book" w:cs="Tahoma"/>
                <w:b/>
                <w:bCs/>
                <w:color w:val="000000"/>
                <w:sz w:val="18"/>
                <w:szCs w:val="18"/>
              </w:rPr>
              <w:t>3992</w:t>
            </w:r>
          </w:p>
        </w:tc>
        <w:tc>
          <w:tcPr>
            <w:tcW w:w="417" w:type="pct"/>
            <w:vAlign w:val="center"/>
          </w:tcPr>
          <w:p w14:paraId="0CDA102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ahoma"/>
                <w:b/>
                <w:bCs/>
                <w:color w:val="000000"/>
                <w:sz w:val="18"/>
                <w:szCs w:val="18"/>
              </w:rPr>
            </w:pPr>
            <w:r w:rsidRPr="003C13ED">
              <w:rPr>
                <w:rFonts w:ascii="Franklin Gothic Book" w:hAnsi="Franklin Gothic Book"/>
                <w:b/>
                <w:bCs/>
                <w:sz w:val="18"/>
                <w:szCs w:val="18"/>
              </w:rPr>
              <w:t>4671</w:t>
            </w:r>
          </w:p>
        </w:tc>
        <w:tc>
          <w:tcPr>
            <w:tcW w:w="418" w:type="pct"/>
            <w:vAlign w:val="center"/>
          </w:tcPr>
          <w:p w14:paraId="24A9F33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sz w:val="18"/>
                <w:szCs w:val="18"/>
              </w:rPr>
            </w:pPr>
            <w:r w:rsidRPr="003C13ED">
              <w:rPr>
                <w:rFonts w:ascii="Franklin Gothic Book" w:hAnsi="Franklin Gothic Book"/>
                <w:b/>
                <w:bCs/>
                <w:sz w:val="18"/>
                <w:szCs w:val="18"/>
              </w:rPr>
              <w:t>56</w:t>
            </w:r>
            <w:r>
              <w:rPr>
                <w:rFonts w:ascii="Franklin Gothic Book" w:hAnsi="Franklin Gothic Book"/>
                <w:b/>
                <w:bCs/>
                <w:sz w:val="18"/>
                <w:szCs w:val="18"/>
              </w:rPr>
              <w:t>14</w:t>
            </w:r>
          </w:p>
        </w:tc>
      </w:tr>
    </w:tbl>
    <w:p w14:paraId="02EDB6D8" w14:textId="77777777" w:rsidR="00BC7922" w:rsidRDefault="00BC7922" w:rsidP="00BC7922">
      <w:pPr>
        <w:pStyle w:val="Caption"/>
        <w:keepNext/>
        <w:rPr>
          <w:rFonts w:ascii="Franklin Gothic Book" w:hAnsi="Franklin Gothic Book"/>
          <w:sz w:val="16"/>
          <w:szCs w:val="16"/>
        </w:rPr>
      </w:pPr>
    </w:p>
    <w:p w14:paraId="748C332A" w14:textId="77777777" w:rsidR="00BC7922" w:rsidRPr="005416F6" w:rsidRDefault="00BC7922" w:rsidP="00BC7922">
      <w:r w:rsidRPr="005416F6">
        <w:t>Graduate student registration jumped to 598 (+42% from 421 in 2023-24), the largest year-over-year percentage increase among student levels.</w:t>
      </w:r>
      <w:r>
        <w:t xml:space="preserve"> </w:t>
      </w:r>
      <w:r w:rsidRPr="005416F6">
        <w:t>Graduate students represented the fastest-growing segment of our population this year, with nearly 600 registered students. This shift requires specialized attention to research accommodations, teaching assistant support, and graduate-specific academic considerations.</w:t>
      </w:r>
      <w:r>
        <w:t xml:space="preserve"> This is an area we have focused on extensively this year. </w:t>
      </w:r>
    </w:p>
    <w:p w14:paraId="4193C307" w14:textId="77777777" w:rsidR="00BC7922" w:rsidRPr="003C13ED" w:rsidRDefault="00BC7922" w:rsidP="00BC7922">
      <w:pPr>
        <w:pStyle w:val="Caption"/>
        <w:keepNext/>
        <w:jc w:val="center"/>
        <w:rPr>
          <w:rFonts w:ascii="Franklin Gothic Book" w:hAnsi="Franklin Gothic Book"/>
        </w:rPr>
      </w:pPr>
      <w:r w:rsidRPr="003C13ED">
        <w:rPr>
          <w:rFonts w:ascii="Franklin Gothic Book" w:hAnsi="Franklin Gothic Book"/>
        </w:rPr>
        <w:t xml:space="preserve">Table </w:t>
      </w:r>
      <w:r w:rsidRPr="003C13ED">
        <w:rPr>
          <w:rFonts w:ascii="Franklin Gothic Book" w:hAnsi="Franklin Gothic Book"/>
          <w:noProof/>
        </w:rPr>
        <w:t>2</w:t>
      </w:r>
      <w:r w:rsidRPr="003C13ED">
        <w:rPr>
          <w:rFonts w:ascii="Franklin Gothic Book" w:hAnsi="Franklin Gothic Book"/>
        </w:rPr>
        <w:t>: All Disabilities by Academic Year (Students with multiple disabilities are counted more than once)</w:t>
      </w:r>
    </w:p>
    <w:tbl>
      <w:tblPr>
        <w:tblStyle w:val="PlainTable1"/>
        <w:tblW w:w="5000" w:type="pct"/>
        <w:tblLook w:val="04A0" w:firstRow="1" w:lastRow="0" w:firstColumn="1" w:lastColumn="0" w:noHBand="0" w:noVBand="1"/>
      </w:tblPr>
      <w:tblGrid>
        <w:gridCol w:w="2209"/>
        <w:gridCol w:w="786"/>
        <w:gridCol w:w="786"/>
        <w:gridCol w:w="786"/>
        <w:gridCol w:w="786"/>
        <w:gridCol w:w="788"/>
        <w:gridCol w:w="786"/>
        <w:gridCol w:w="786"/>
        <w:gridCol w:w="785"/>
        <w:gridCol w:w="785"/>
        <w:gridCol w:w="787"/>
      </w:tblGrid>
      <w:tr w:rsidR="00BC7922" w:rsidRPr="003C13ED" w14:paraId="02039217" w14:textId="77777777" w:rsidTr="00C4209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5CADBC2F" w14:textId="77777777" w:rsidR="00BC7922" w:rsidRPr="003C13ED" w:rsidRDefault="00BC7922" w:rsidP="00C42096">
            <w:pPr>
              <w:rPr>
                <w:rFonts w:ascii="Franklin Gothic Book" w:eastAsia="Times New Roman" w:hAnsi="Franklin Gothic Book" w:cs="Calibri"/>
                <w:color w:val="000000"/>
                <w:sz w:val="18"/>
                <w:szCs w:val="18"/>
              </w:rPr>
            </w:pPr>
          </w:p>
        </w:tc>
        <w:tc>
          <w:tcPr>
            <w:tcW w:w="390" w:type="pct"/>
            <w:noWrap/>
            <w:vAlign w:val="center"/>
            <w:hideMark/>
          </w:tcPr>
          <w:p w14:paraId="10192C59"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b w:val="0"/>
                <w:bCs w:val="0"/>
                <w:color w:val="000000"/>
                <w:sz w:val="18"/>
                <w:szCs w:val="18"/>
              </w:rPr>
            </w:pPr>
            <w:r w:rsidRPr="003C13ED">
              <w:rPr>
                <w:rFonts w:ascii="Franklin Gothic Book" w:eastAsia="Times New Roman" w:hAnsi="Franklin Gothic Book" w:cs="Calibri"/>
                <w:color w:val="000000"/>
                <w:sz w:val="18"/>
                <w:szCs w:val="18"/>
              </w:rPr>
              <w:t>2015-</w:t>
            </w:r>
          </w:p>
          <w:p w14:paraId="30C6FA92"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2016</w:t>
            </w:r>
          </w:p>
        </w:tc>
        <w:tc>
          <w:tcPr>
            <w:tcW w:w="390" w:type="pct"/>
            <w:noWrap/>
            <w:vAlign w:val="center"/>
            <w:hideMark/>
          </w:tcPr>
          <w:p w14:paraId="5C877B4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b w:val="0"/>
                <w:bCs w:val="0"/>
                <w:color w:val="000000"/>
                <w:sz w:val="18"/>
                <w:szCs w:val="18"/>
              </w:rPr>
            </w:pPr>
            <w:r w:rsidRPr="003C13ED">
              <w:rPr>
                <w:rFonts w:ascii="Franklin Gothic Book" w:eastAsia="Times New Roman" w:hAnsi="Franklin Gothic Book" w:cs="Calibri"/>
                <w:color w:val="000000"/>
                <w:sz w:val="18"/>
                <w:szCs w:val="18"/>
              </w:rPr>
              <w:t>2016-</w:t>
            </w:r>
          </w:p>
          <w:p w14:paraId="5490E3CD"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2017</w:t>
            </w:r>
          </w:p>
        </w:tc>
        <w:tc>
          <w:tcPr>
            <w:tcW w:w="390" w:type="pct"/>
            <w:vAlign w:val="center"/>
            <w:hideMark/>
          </w:tcPr>
          <w:p w14:paraId="5580123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2017-2018</w:t>
            </w:r>
          </w:p>
        </w:tc>
        <w:tc>
          <w:tcPr>
            <w:tcW w:w="390" w:type="pct"/>
            <w:vAlign w:val="center"/>
            <w:hideMark/>
          </w:tcPr>
          <w:p w14:paraId="2D482459"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2018-2019</w:t>
            </w:r>
          </w:p>
        </w:tc>
        <w:tc>
          <w:tcPr>
            <w:tcW w:w="391" w:type="pct"/>
            <w:vAlign w:val="center"/>
            <w:hideMark/>
          </w:tcPr>
          <w:p w14:paraId="43A725AD"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2019-2020</w:t>
            </w:r>
          </w:p>
        </w:tc>
        <w:tc>
          <w:tcPr>
            <w:tcW w:w="390" w:type="pct"/>
            <w:vAlign w:val="center"/>
          </w:tcPr>
          <w:p w14:paraId="7E5D324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2020-2021</w:t>
            </w:r>
          </w:p>
        </w:tc>
        <w:tc>
          <w:tcPr>
            <w:tcW w:w="390" w:type="pct"/>
            <w:vAlign w:val="center"/>
          </w:tcPr>
          <w:p w14:paraId="585F35EB"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2021-2022</w:t>
            </w:r>
          </w:p>
        </w:tc>
        <w:tc>
          <w:tcPr>
            <w:tcW w:w="390" w:type="pct"/>
            <w:vAlign w:val="center"/>
          </w:tcPr>
          <w:p w14:paraId="57A46E1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2022-2023</w:t>
            </w:r>
          </w:p>
        </w:tc>
        <w:tc>
          <w:tcPr>
            <w:tcW w:w="390" w:type="pct"/>
            <w:vAlign w:val="center"/>
          </w:tcPr>
          <w:p w14:paraId="5A20032E"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2023-2023</w:t>
            </w:r>
          </w:p>
        </w:tc>
        <w:tc>
          <w:tcPr>
            <w:tcW w:w="391" w:type="pct"/>
            <w:vAlign w:val="center"/>
          </w:tcPr>
          <w:p w14:paraId="1926D69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2024-2025</w:t>
            </w:r>
          </w:p>
        </w:tc>
      </w:tr>
      <w:tr w:rsidR="00BC7922" w:rsidRPr="003C13ED" w14:paraId="53D1D93C"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5E081C0C"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ADD/ADHD</w:t>
            </w:r>
          </w:p>
        </w:tc>
        <w:tc>
          <w:tcPr>
            <w:tcW w:w="390" w:type="pct"/>
            <w:noWrap/>
            <w:vAlign w:val="center"/>
            <w:hideMark/>
          </w:tcPr>
          <w:p w14:paraId="7828F23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507</w:t>
            </w:r>
          </w:p>
        </w:tc>
        <w:tc>
          <w:tcPr>
            <w:tcW w:w="390" w:type="pct"/>
            <w:noWrap/>
            <w:vAlign w:val="center"/>
            <w:hideMark/>
          </w:tcPr>
          <w:p w14:paraId="55E03FF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566</w:t>
            </w:r>
          </w:p>
        </w:tc>
        <w:tc>
          <w:tcPr>
            <w:tcW w:w="390" w:type="pct"/>
            <w:vAlign w:val="center"/>
            <w:hideMark/>
          </w:tcPr>
          <w:p w14:paraId="1703558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667</w:t>
            </w:r>
          </w:p>
        </w:tc>
        <w:tc>
          <w:tcPr>
            <w:tcW w:w="390" w:type="pct"/>
            <w:vAlign w:val="center"/>
            <w:hideMark/>
          </w:tcPr>
          <w:p w14:paraId="75F4F19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791</w:t>
            </w:r>
          </w:p>
        </w:tc>
        <w:tc>
          <w:tcPr>
            <w:tcW w:w="391" w:type="pct"/>
            <w:vAlign w:val="center"/>
            <w:hideMark/>
          </w:tcPr>
          <w:p w14:paraId="50E5D82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848</w:t>
            </w:r>
          </w:p>
        </w:tc>
        <w:tc>
          <w:tcPr>
            <w:tcW w:w="390" w:type="pct"/>
            <w:vAlign w:val="center"/>
          </w:tcPr>
          <w:p w14:paraId="1CA1E1A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1019</w:t>
            </w:r>
          </w:p>
        </w:tc>
        <w:tc>
          <w:tcPr>
            <w:tcW w:w="390" w:type="pct"/>
            <w:vAlign w:val="center"/>
          </w:tcPr>
          <w:p w14:paraId="09599D5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1162</w:t>
            </w:r>
          </w:p>
        </w:tc>
        <w:tc>
          <w:tcPr>
            <w:tcW w:w="390" w:type="pct"/>
            <w:vAlign w:val="center"/>
          </w:tcPr>
          <w:p w14:paraId="4DF5701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1449</w:t>
            </w:r>
          </w:p>
        </w:tc>
        <w:tc>
          <w:tcPr>
            <w:tcW w:w="390" w:type="pct"/>
            <w:vAlign w:val="center"/>
          </w:tcPr>
          <w:p w14:paraId="5BD8F9C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1711</w:t>
            </w:r>
          </w:p>
        </w:tc>
        <w:tc>
          <w:tcPr>
            <w:tcW w:w="391" w:type="pct"/>
            <w:vAlign w:val="center"/>
          </w:tcPr>
          <w:p w14:paraId="2DF2B9E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2118</w:t>
            </w:r>
          </w:p>
        </w:tc>
      </w:tr>
      <w:tr w:rsidR="00BC7922" w:rsidRPr="003C13ED" w14:paraId="27C460AB" w14:textId="77777777" w:rsidTr="00C42096">
        <w:trPr>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3487AD3D"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Autism Spectrum Disorder</w:t>
            </w:r>
          </w:p>
        </w:tc>
        <w:tc>
          <w:tcPr>
            <w:tcW w:w="390" w:type="pct"/>
            <w:noWrap/>
            <w:vAlign w:val="center"/>
            <w:hideMark/>
          </w:tcPr>
          <w:p w14:paraId="540DB9D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63</w:t>
            </w:r>
          </w:p>
        </w:tc>
        <w:tc>
          <w:tcPr>
            <w:tcW w:w="390" w:type="pct"/>
            <w:noWrap/>
            <w:vAlign w:val="center"/>
            <w:hideMark/>
          </w:tcPr>
          <w:p w14:paraId="2D9FBEF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68</w:t>
            </w:r>
          </w:p>
        </w:tc>
        <w:tc>
          <w:tcPr>
            <w:tcW w:w="390" w:type="pct"/>
            <w:vAlign w:val="center"/>
            <w:hideMark/>
          </w:tcPr>
          <w:p w14:paraId="646E746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86</w:t>
            </w:r>
          </w:p>
        </w:tc>
        <w:tc>
          <w:tcPr>
            <w:tcW w:w="390" w:type="pct"/>
            <w:vAlign w:val="center"/>
            <w:hideMark/>
          </w:tcPr>
          <w:p w14:paraId="7C748FB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116</w:t>
            </w:r>
          </w:p>
        </w:tc>
        <w:tc>
          <w:tcPr>
            <w:tcW w:w="391" w:type="pct"/>
            <w:vAlign w:val="center"/>
            <w:hideMark/>
          </w:tcPr>
          <w:p w14:paraId="1EBA932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121</w:t>
            </w:r>
          </w:p>
        </w:tc>
        <w:tc>
          <w:tcPr>
            <w:tcW w:w="390" w:type="pct"/>
            <w:vAlign w:val="center"/>
          </w:tcPr>
          <w:p w14:paraId="76AC558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159</w:t>
            </w:r>
          </w:p>
        </w:tc>
        <w:tc>
          <w:tcPr>
            <w:tcW w:w="390" w:type="pct"/>
            <w:vAlign w:val="center"/>
          </w:tcPr>
          <w:p w14:paraId="4C5ACAE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172</w:t>
            </w:r>
          </w:p>
        </w:tc>
        <w:tc>
          <w:tcPr>
            <w:tcW w:w="390" w:type="pct"/>
            <w:vAlign w:val="center"/>
          </w:tcPr>
          <w:p w14:paraId="5226E14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211</w:t>
            </w:r>
          </w:p>
        </w:tc>
        <w:tc>
          <w:tcPr>
            <w:tcW w:w="390" w:type="pct"/>
            <w:vAlign w:val="center"/>
          </w:tcPr>
          <w:p w14:paraId="389C2C3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255</w:t>
            </w:r>
          </w:p>
        </w:tc>
        <w:tc>
          <w:tcPr>
            <w:tcW w:w="391" w:type="pct"/>
            <w:vAlign w:val="center"/>
          </w:tcPr>
          <w:p w14:paraId="5A591D4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337</w:t>
            </w:r>
          </w:p>
        </w:tc>
      </w:tr>
      <w:tr w:rsidR="00BC7922" w:rsidRPr="003C13ED" w14:paraId="48FB8ABD"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33BD44FB"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Chronic Health Condition</w:t>
            </w:r>
          </w:p>
        </w:tc>
        <w:tc>
          <w:tcPr>
            <w:tcW w:w="390" w:type="pct"/>
            <w:noWrap/>
            <w:vAlign w:val="center"/>
            <w:hideMark/>
          </w:tcPr>
          <w:p w14:paraId="7F0C283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224</w:t>
            </w:r>
          </w:p>
        </w:tc>
        <w:tc>
          <w:tcPr>
            <w:tcW w:w="390" w:type="pct"/>
            <w:noWrap/>
            <w:vAlign w:val="center"/>
            <w:hideMark/>
          </w:tcPr>
          <w:p w14:paraId="1070FBA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314</w:t>
            </w:r>
          </w:p>
        </w:tc>
        <w:tc>
          <w:tcPr>
            <w:tcW w:w="390" w:type="pct"/>
            <w:vAlign w:val="center"/>
            <w:hideMark/>
          </w:tcPr>
          <w:p w14:paraId="597274B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432</w:t>
            </w:r>
          </w:p>
        </w:tc>
        <w:tc>
          <w:tcPr>
            <w:tcW w:w="390" w:type="pct"/>
            <w:vAlign w:val="center"/>
            <w:hideMark/>
          </w:tcPr>
          <w:p w14:paraId="16F40B1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602</w:t>
            </w:r>
          </w:p>
        </w:tc>
        <w:tc>
          <w:tcPr>
            <w:tcW w:w="391" w:type="pct"/>
            <w:vAlign w:val="center"/>
            <w:hideMark/>
          </w:tcPr>
          <w:p w14:paraId="2B5A21D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717</w:t>
            </w:r>
          </w:p>
        </w:tc>
        <w:tc>
          <w:tcPr>
            <w:tcW w:w="390" w:type="pct"/>
            <w:vAlign w:val="center"/>
          </w:tcPr>
          <w:p w14:paraId="3BD0D63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715</w:t>
            </w:r>
          </w:p>
        </w:tc>
        <w:tc>
          <w:tcPr>
            <w:tcW w:w="390" w:type="pct"/>
            <w:vAlign w:val="center"/>
          </w:tcPr>
          <w:p w14:paraId="55B72D7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609</w:t>
            </w:r>
          </w:p>
        </w:tc>
        <w:tc>
          <w:tcPr>
            <w:tcW w:w="390" w:type="pct"/>
            <w:vAlign w:val="center"/>
          </w:tcPr>
          <w:p w14:paraId="6F58D3A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754</w:t>
            </w:r>
          </w:p>
        </w:tc>
        <w:tc>
          <w:tcPr>
            <w:tcW w:w="390" w:type="pct"/>
            <w:vAlign w:val="center"/>
          </w:tcPr>
          <w:p w14:paraId="3DBC6CD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720</w:t>
            </w:r>
          </w:p>
        </w:tc>
        <w:tc>
          <w:tcPr>
            <w:tcW w:w="391" w:type="pct"/>
            <w:vAlign w:val="center"/>
          </w:tcPr>
          <w:p w14:paraId="00A8060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1271</w:t>
            </w:r>
          </w:p>
        </w:tc>
      </w:tr>
      <w:tr w:rsidR="00BC7922" w:rsidRPr="003C13ED" w14:paraId="1B550EF2" w14:textId="77777777" w:rsidTr="00C42096">
        <w:trPr>
          <w:trHeight w:val="30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750652D8"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Communication Disorder</w:t>
            </w:r>
          </w:p>
        </w:tc>
        <w:tc>
          <w:tcPr>
            <w:tcW w:w="390" w:type="pct"/>
            <w:noWrap/>
            <w:vAlign w:val="center"/>
            <w:hideMark/>
          </w:tcPr>
          <w:p w14:paraId="0EA51A2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12</w:t>
            </w:r>
          </w:p>
        </w:tc>
        <w:tc>
          <w:tcPr>
            <w:tcW w:w="390" w:type="pct"/>
            <w:noWrap/>
            <w:vAlign w:val="center"/>
            <w:hideMark/>
          </w:tcPr>
          <w:p w14:paraId="6EE8795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15</w:t>
            </w:r>
          </w:p>
        </w:tc>
        <w:tc>
          <w:tcPr>
            <w:tcW w:w="390" w:type="pct"/>
            <w:vAlign w:val="center"/>
            <w:hideMark/>
          </w:tcPr>
          <w:p w14:paraId="6783190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22</w:t>
            </w:r>
          </w:p>
        </w:tc>
        <w:tc>
          <w:tcPr>
            <w:tcW w:w="390" w:type="pct"/>
            <w:vAlign w:val="center"/>
            <w:hideMark/>
          </w:tcPr>
          <w:p w14:paraId="2B63098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24</w:t>
            </w:r>
          </w:p>
        </w:tc>
        <w:tc>
          <w:tcPr>
            <w:tcW w:w="391" w:type="pct"/>
            <w:vAlign w:val="center"/>
            <w:hideMark/>
          </w:tcPr>
          <w:p w14:paraId="1170D1B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19</w:t>
            </w:r>
          </w:p>
        </w:tc>
        <w:tc>
          <w:tcPr>
            <w:tcW w:w="390" w:type="pct"/>
            <w:vAlign w:val="center"/>
          </w:tcPr>
          <w:p w14:paraId="302B0FC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16</w:t>
            </w:r>
          </w:p>
        </w:tc>
        <w:tc>
          <w:tcPr>
            <w:tcW w:w="390" w:type="pct"/>
            <w:vAlign w:val="center"/>
          </w:tcPr>
          <w:p w14:paraId="7F0865F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8</w:t>
            </w:r>
          </w:p>
        </w:tc>
        <w:tc>
          <w:tcPr>
            <w:tcW w:w="390" w:type="pct"/>
            <w:vAlign w:val="center"/>
          </w:tcPr>
          <w:p w14:paraId="003D4C9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w:t>
            </w:r>
          </w:p>
        </w:tc>
        <w:tc>
          <w:tcPr>
            <w:tcW w:w="390" w:type="pct"/>
            <w:vAlign w:val="center"/>
          </w:tcPr>
          <w:p w14:paraId="4AB000D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w:t>
            </w:r>
          </w:p>
        </w:tc>
        <w:tc>
          <w:tcPr>
            <w:tcW w:w="391" w:type="pct"/>
            <w:vAlign w:val="center"/>
          </w:tcPr>
          <w:p w14:paraId="5D1C221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22</w:t>
            </w:r>
          </w:p>
        </w:tc>
      </w:tr>
      <w:tr w:rsidR="00BC7922" w:rsidRPr="003C13ED" w14:paraId="04090442"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292B290A"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Hearing</w:t>
            </w:r>
          </w:p>
        </w:tc>
        <w:tc>
          <w:tcPr>
            <w:tcW w:w="390" w:type="pct"/>
            <w:noWrap/>
            <w:vAlign w:val="center"/>
            <w:hideMark/>
          </w:tcPr>
          <w:p w14:paraId="77D2374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41</w:t>
            </w:r>
          </w:p>
        </w:tc>
        <w:tc>
          <w:tcPr>
            <w:tcW w:w="390" w:type="pct"/>
            <w:noWrap/>
            <w:vAlign w:val="center"/>
            <w:hideMark/>
          </w:tcPr>
          <w:p w14:paraId="569F860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37</w:t>
            </w:r>
          </w:p>
        </w:tc>
        <w:tc>
          <w:tcPr>
            <w:tcW w:w="390" w:type="pct"/>
            <w:vAlign w:val="center"/>
            <w:hideMark/>
          </w:tcPr>
          <w:p w14:paraId="40E6398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42</w:t>
            </w:r>
          </w:p>
        </w:tc>
        <w:tc>
          <w:tcPr>
            <w:tcW w:w="390" w:type="pct"/>
            <w:vAlign w:val="center"/>
            <w:hideMark/>
          </w:tcPr>
          <w:p w14:paraId="5B39A83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59</w:t>
            </w:r>
          </w:p>
        </w:tc>
        <w:tc>
          <w:tcPr>
            <w:tcW w:w="391" w:type="pct"/>
            <w:vAlign w:val="center"/>
            <w:hideMark/>
          </w:tcPr>
          <w:p w14:paraId="4DF80ED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51</w:t>
            </w:r>
          </w:p>
        </w:tc>
        <w:tc>
          <w:tcPr>
            <w:tcW w:w="390" w:type="pct"/>
            <w:vAlign w:val="center"/>
          </w:tcPr>
          <w:p w14:paraId="405E306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63</w:t>
            </w:r>
          </w:p>
        </w:tc>
        <w:tc>
          <w:tcPr>
            <w:tcW w:w="390" w:type="pct"/>
            <w:vAlign w:val="center"/>
          </w:tcPr>
          <w:p w14:paraId="787411F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66</w:t>
            </w:r>
          </w:p>
        </w:tc>
        <w:tc>
          <w:tcPr>
            <w:tcW w:w="390" w:type="pct"/>
            <w:vAlign w:val="center"/>
          </w:tcPr>
          <w:p w14:paraId="17E2518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70</w:t>
            </w:r>
          </w:p>
        </w:tc>
        <w:tc>
          <w:tcPr>
            <w:tcW w:w="390" w:type="pct"/>
            <w:vAlign w:val="center"/>
          </w:tcPr>
          <w:p w14:paraId="605E7A6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72</w:t>
            </w:r>
          </w:p>
        </w:tc>
        <w:tc>
          <w:tcPr>
            <w:tcW w:w="391" w:type="pct"/>
            <w:vAlign w:val="center"/>
          </w:tcPr>
          <w:p w14:paraId="238A19B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101</w:t>
            </w:r>
          </w:p>
        </w:tc>
      </w:tr>
      <w:tr w:rsidR="00BC7922" w:rsidRPr="003C13ED" w14:paraId="58EBAABF" w14:textId="77777777" w:rsidTr="00C42096">
        <w:trPr>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68F500BC"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Learning Disability</w:t>
            </w:r>
          </w:p>
        </w:tc>
        <w:tc>
          <w:tcPr>
            <w:tcW w:w="390" w:type="pct"/>
            <w:noWrap/>
            <w:vAlign w:val="center"/>
            <w:hideMark/>
          </w:tcPr>
          <w:p w14:paraId="1A2A254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254</w:t>
            </w:r>
          </w:p>
        </w:tc>
        <w:tc>
          <w:tcPr>
            <w:tcW w:w="390" w:type="pct"/>
            <w:noWrap/>
            <w:vAlign w:val="center"/>
            <w:hideMark/>
          </w:tcPr>
          <w:p w14:paraId="5DE6089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285</w:t>
            </w:r>
          </w:p>
        </w:tc>
        <w:tc>
          <w:tcPr>
            <w:tcW w:w="390" w:type="pct"/>
            <w:vAlign w:val="center"/>
            <w:hideMark/>
          </w:tcPr>
          <w:p w14:paraId="5CE447D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312</w:t>
            </w:r>
          </w:p>
        </w:tc>
        <w:tc>
          <w:tcPr>
            <w:tcW w:w="390" w:type="pct"/>
            <w:vAlign w:val="center"/>
            <w:hideMark/>
          </w:tcPr>
          <w:p w14:paraId="3CA606A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377</w:t>
            </w:r>
          </w:p>
        </w:tc>
        <w:tc>
          <w:tcPr>
            <w:tcW w:w="391" w:type="pct"/>
            <w:vAlign w:val="center"/>
            <w:hideMark/>
          </w:tcPr>
          <w:p w14:paraId="48595FC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371</w:t>
            </w:r>
          </w:p>
        </w:tc>
        <w:tc>
          <w:tcPr>
            <w:tcW w:w="390" w:type="pct"/>
            <w:vAlign w:val="center"/>
          </w:tcPr>
          <w:p w14:paraId="27BC107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394</w:t>
            </w:r>
          </w:p>
        </w:tc>
        <w:tc>
          <w:tcPr>
            <w:tcW w:w="390" w:type="pct"/>
            <w:vAlign w:val="center"/>
          </w:tcPr>
          <w:p w14:paraId="74D151E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423</w:t>
            </w:r>
          </w:p>
        </w:tc>
        <w:tc>
          <w:tcPr>
            <w:tcW w:w="390" w:type="pct"/>
            <w:vAlign w:val="center"/>
          </w:tcPr>
          <w:p w14:paraId="1D407B4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432</w:t>
            </w:r>
          </w:p>
        </w:tc>
        <w:tc>
          <w:tcPr>
            <w:tcW w:w="390" w:type="pct"/>
            <w:vAlign w:val="center"/>
          </w:tcPr>
          <w:p w14:paraId="4DC6945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498</w:t>
            </w:r>
          </w:p>
        </w:tc>
        <w:tc>
          <w:tcPr>
            <w:tcW w:w="391" w:type="pct"/>
            <w:vAlign w:val="center"/>
          </w:tcPr>
          <w:p w14:paraId="5635618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633</w:t>
            </w:r>
          </w:p>
        </w:tc>
      </w:tr>
      <w:tr w:rsidR="00BC7922" w:rsidRPr="003C13ED" w14:paraId="1790334D"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64024364"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Physical Disability</w:t>
            </w:r>
          </w:p>
        </w:tc>
        <w:tc>
          <w:tcPr>
            <w:tcW w:w="390" w:type="pct"/>
            <w:noWrap/>
            <w:vAlign w:val="center"/>
            <w:hideMark/>
          </w:tcPr>
          <w:p w14:paraId="45E043A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22</w:t>
            </w:r>
          </w:p>
        </w:tc>
        <w:tc>
          <w:tcPr>
            <w:tcW w:w="390" w:type="pct"/>
            <w:noWrap/>
            <w:vAlign w:val="center"/>
            <w:hideMark/>
          </w:tcPr>
          <w:p w14:paraId="478FF57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21</w:t>
            </w:r>
          </w:p>
        </w:tc>
        <w:tc>
          <w:tcPr>
            <w:tcW w:w="390" w:type="pct"/>
            <w:vAlign w:val="center"/>
            <w:hideMark/>
          </w:tcPr>
          <w:p w14:paraId="78C9D9D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27</w:t>
            </w:r>
          </w:p>
        </w:tc>
        <w:tc>
          <w:tcPr>
            <w:tcW w:w="390" w:type="pct"/>
            <w:vAlign w:val="center"/>
            <w:hideMark/>
          </w:tcPr>
          <w:p w14:paraId="72B6B24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44</w:t>
            </w:r>
          </w:p>
        </w:tc>
        <w:tc>
          <w:tcPr>
            <w:tcW w:w="391" w:type="pct"/>
            <w:vAlign w:val="center"/>
            <w:hideMark/>
          </w:tcPr>
          <w:p w14:paraId="65E1DE8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w:t>
            </w:r>
          </w:p>
        </w:tc>
        <w:tc>
          <w:tcPr>
            <w:tcW w:w="390" w:type="pct"/>
            <w:vAlign w:val="center"/>
          </w:tcPr>
          <w:p w14:paraId="2521C1D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w:t>
            </w:r>
          </w:p>
        </w:tc>
        <w:tc>
          <w:tcPr>
            <w:tcW w:w="390" w:type="pct"/>
            <w:vAlign w:val="center"/>
          </w:tcPr>
          <w:p w14:paraId="1B156FA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50</w:t>
            </w:r>
          </w:p>
        </w:tc>
        <w:tc>
          <w:tcPr>
            <w:tcW w:w="390" w:type="pct"/>
            <w:vAlign w:val="center"/>
          </w:tcPr>
          <w:p w14:paraId="206935C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79</w:t>
            </w:r>
          </w:p>
        </w:tc>
        <w:tc>
          <w:tcPr>
            <w:tcW w:w="390" w:type="pct"/>
            <w:vAlign w:val="center"/>
          </w:tcPr>
          <w:p w14:paraId="7F40100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108</w:t>
            </w:r>
          </w:p>
        </w:tc>
        <w:tc>
          <w:tcPr>
            <w:tcW w:w="391" w:type="pct"/>
            <w:vAlign w:val="center"/>
          </w:tcPr>
          <w:p w14:paraId="57B360A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184</w:t>
            </w:r>
          </w:p>
        </w:tc>
      </w:tr>
      <w:tr w:rsidR="00BC7922" w:rsidRPr="003C13ED" w14:paraId="6C22F605" w14:textId="77777777" w:rsidTr="00C42096">
        <w:trPr>
          <w:trHeight w:val="323"/>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120CC6C6"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Neurological Condition</w:t>
            </w:r>
          </w:p>
        </w:tc>
        <w:tc>
          <w:tcPr>
            <w:tcW w:w="390" w:type="pct"/>
            <w:noWrap/>
            <w:vAlign w:val="center"/>
            <w:hideMark/>
          </w:tcPr>
          <w:p w14:paraId="0F325D7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65</w:t>
            </w:r>
          </w:p>
        </w:tc>
        <w:tc>
          <w:tcPr>
            <w:tcW w:w="390" w:type="pct"/>
            <w:noWrap/>
            <w:vAlign w:val="center"/>
            <w:hideMark/>
          </w:tcPr>
          <w:p w14:paraId="1A3784C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85</w:t>
            </w:r>
          </w:p>
        </w:tc>
        <w:tc>
          <w:tcPr>
            <w:tcW w:w="390" w:type="pct"/>
            <w:vAlign w:val="center"/>
            <w:hideMark/>
          </w:tcPr>
          <w:p w14:paraId="5EEDA02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99</w:t>
            </w:r>
          </w:p>
        </w:tc>
        <w:tc>
          <w:tcPr>
            <w:tcW w:w="390" w:type="pct"/>
            <w:vAlign w:val="center"/>
            <w:hideMark/>
          </w:tcPr>
          <w:p w14:paraId="5D250A0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96</w:t>
            </w:r>
          </w:p>
        </w:tc>
        <w:tc>
          <w:tcPr>
            <w:tcW w:w="391" w:type="pct"/>
            <w:vAlign w:val="center"/>
            <w:hideMark/>
          </w:tcPr>
          <w:p w14:paraId="70FE619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98</w:t>
            </w:r>
          </w:p>
        </w:tc>
        <w:tc>
          <w:tcPr>
            <w:tcW w:w="390" w:type="pct"/>
            <w:vAlign w:val="center"/>
          </w:tcPr>
          <w:p w14:paraId="69F1EC4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91</w:t>
            </w:r>
          </w:p>
        </w:tc>
        <w:tc>
          <w:tcPr>
            <w:tcW w:w="390" w:type="pct"/>
            <w:vAlign w:val="center"/>
          </w:tcPr>
          <w:p w14:paraId="0101B87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53</w:t>
            </w:r>
          </w:p>
        </w:tc>
        <w:tc>
          <w:tcPr>
            <w:tcW w:w="390" w:type="pct"/>
            <w:vAlign w:val="center"/>
          </w:tcPr>
          <w:p w14:paraId="3A0E2C7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29</w:t>
            </w:r>
          </w:p>
        </w:tc>
        <w:tc>
          <w:tcPr>
            <w:tcW w:w="390" w:type="pct"/>
            <w:vAlign w:val="center"/>
          </w:tcPr>
          <w:p w14:paraId="4CCD4B9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w:t>
            </w:r>
          </w:p>
        </w:tc>
        <w:tc>
          <w:tcPr>
            <w:tcW w:w="391" w:type="pct"/>
            <w:vAlign w:val="center"/>
          </w:tcPr>
          <w:p w14:paraId="7AD8D9A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74</w:t>
            </w:r>
          </w:p>
        </w:tc>
      </w:tr>
      <w:tr w:rsidR="00BC7922" w:rsidRPr="003C13ED" w14:paraId="65FD28D3"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1444FE8D"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Mental Health</w:t>
            </w:r>
          </w:p>
        </w:tc>
        <w:tc>
          <w:tcPr>
            <w:tcW w:w="390" w:type="pct"/>
            <w:noWrap/>
            <w:vAlign w:val="center"/>
            <w:hideMark/>
          </w:tcPr>
          <w:p w14:paraId="35E62DE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295</w:t>
            </w:r>
          </w:p>
        </w:tc>
        <w:tc>
          <w:tcPr>
            <w:tcW w:w="390" w:type="pct"/>
            <w:noWrap/>
            <w:vAlign w:val="center"/>
            <w:hideMark/>
          </w:tcPr>
          <w:p w14:paraId="5A7AF59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412</w:t>
            </w:r>
          </w:p>
        </w:tc>
        <w:tc>
          <w:tcPr>
            <w:tcW w:w="390" w:type="pct"/>
            <w:vAlign w:val="center"/>
            <w:hideMark/>
          </w:tcPr>
          <w:p w14:paraId="3A2C8E6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571</w:t>
            </w:r>
          </w:p>
        </w:tc>
        <w:tc>
          <w:tcPr>
            <w:tcW w:w="390" w:type="pct"/>
            <w:vAlign w:val="center"/>
            <w:hideMark/>
          </w:tcPr>
          <w:p w14:paraId="5A60CD0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852</w:t>
            </w:r>
          </w:p>
        </w:tc>
        <w:tc>
          <w:tcPr>
            <w:tcW w:w="391" w:type="pct"/>
            <w:vAlign w:val="center"/>
            <w:hideMark/>
          </w:tcPr>
          <w:p w14:paraId="4EA57E4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914</w:t>
            </w:r>
          </w:p>
        </w:tc>
        <w:tc>
          <w:tcPr>
            <w:tcW w:w="390" w:type="pct"/>
            <w:vAlign w:val="center"/>
          </w:tcPr>
          <w:p w14:paraId="3DEB08C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1037</w:t>
            </w:r>
          </w:p>
        </w:tc>
        <w:tc>
          <w:tcPr>
            <w:tcW w:w="390" w:type="pct"/>
            <w:vAlign w:val="center"/>
          </w:tcPr>
          <w:p w14:paraId="7CBC3B4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1053</w:t>
            </w:r>
          </w:p>
        </w:tc>
        <w:tc>
          <w:tcPr>
            <w:tcW w:w="390" w:type="pct"/>
            <w:vAlign w:val="center"/>
          </w:tcPr>
          <w:p w14:paraId="5C3A876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1350</w:t>
            </w:r>
          </w:p>
        </w:tc>
        <w:tc>
          <w:tcPr>
            <w:tcW w:w="390" w:type="pct"/>
            <w:vAlign w:val="center"/>
          </w:tcPr>
          <w:p w14:paraId="4C69633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1694</w:t>
            </w:r>
          </w:p>
        </w:tc>
        <w:tc>
          <w:tcPr>
            <w:tcW w:w="391" w:type="pct"/>
            <w:vAlign w:val="center"/>
          </w:tcPr>
          <w:p w14:paraId="02111FC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2164</w:t>
            </w:r>
          </w:p>
        </w:tc>
      </w:tr>
      <w:tr w:rsidR="00BC7922" w:rsidRPr="003C13ED" w14:paraId="08412629" w14:textId="77777777" w:rsidTr="00C42096">
        <w:trPr>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3C141972"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Temporary</w:t>
            </w:r>
          </w:p>
        </w:tc>
        <w:tc>
          <w:tcPr>
            <w:tcW w:w="390" w:type="pct"/>
            <w:noWrap/>
            <w:vAlign w:val="center"/>
            <w:hideMark/>
          </w:tcPr>
          <w:p w14:paraId="6A20FF6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132</w:t>
            </w:r>
          </w:p>
        </w:tc>
        <w:tc>
          <w:tcPr>
            <w:tcW w:w="390" w:type="pct"/>
            <w:noWrap/>
            <w:vAlign w:val="center"/>
            <w:hideMark/>
          </w:tcPr>
          <w:p w14:paraId="0EF22BB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100</w:t>
            </w:r>
          </w:p>
        </w:tc>
        <w:tc>
          <w:tcPr>
            <w:tcW w:w="390" w:type="pct"/>
            <w:vAlign w:val="center"/>
            <w:hideMark/>
          </w:tcPr>
          <w:p w14:paraId="7B82FE0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154</w:t>
            </w:r>
          </w:p>
        </w:tc>
        <w:tc>
          <w:tcPr>
            <w:tcW w:w="390" w:type="pct"/>
            <w:vAlign w:val="center"/>
            <w:hideMark/>
          </w:tcPr>
          <w:p w14:paraId="6B57BBB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203</w:t>
            </w:r>
          </w:p>
        </w:tc>
        <w:tc>
          <w:tcPr>
            <w:tcW w:w="391" w:type="pct"/>
            <w:vAlign w:val="center"/>
            <w:hideMark/>
          </w:tcPr>
          <w:p w14:paraId="1FC83FD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176</w:t>
            </w:r>
          </w:p>
        </w:tc>
        <w:tc>
          <w:tcPr>
            <w:tcW w:w="390" w:type="pct"/>
            <w:vAlign w:val="center"/>
          </w:tcPr>
          <w:p w14:paraId="6046843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152</w:t>
            </w:r>
          </w:p>
        </w:tc>
        <w:tc>
          <w:tcPr>
            <w:tcW w:w="390" w:type="pct"/>
            <w:vAlign w:val="center"/>
          </w:tcPr>
          <w:p w14:paraId="0C4AC25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116</w:t>
            </w:r>
          </w:p>
        </w:tc>
        <w:tc>
          <w:tcPr>
            <w:tcW w:w="390" w:type="pct"/>
            <w:vAlign w:val="center"/>
          </w:tcPr>
          <w:p w14:paraId="2B0D67D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93</w:t>
            </w:r>
          </w:p>
        </w:tc>
        <w:tc>
          <w:tcPr>
            <w:tcW w:w="390" w:type="pct"/>
            <w:vAlign w:val="center"/>
          </w:tcPr>
          <w:p w14:paraId="3C55180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169</w:t>
            </w:r>
          </w:p>
        </w:tc>
        <w:tc>
          <w:tcPr>
            <w:tcW w:w="391" w:type="pct"/>
            <w:vAlign w:val="center"/>
          </w:tcPr>
          <w:p w14:paraId="27872FC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340</w:t>
            </w:r>
          </w:p>
        </w:tc>
      </w:tr>
      <w:tr w:rsidR="00BC7922" w:rsidRPr="003C13ED" w14:paraId="5820A9F1" w14:textId="77777777" w:rsidTr="00C4209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4661BB33"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Traumatic Brain Injury</w:t>
            </w:r>
          </w:p>
        </w:tc>
        <w:tc>
          <w:tcPr>
            <w:tcW w:w="390" w:type="pct"/>
            <w:noWrap/>
            <w:vAlign w:val="center"/>
            <w:hideMark/>
          </w:tcPr>
          <w:p w14:paraId="2E57783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17</w:t>
            </w:r>
          </w:p>
        </w:tc>
        <w:tc>
          <w:tcPr>
            <w:tcW w:w="390" w:type="pct"/>
            <w:noWrap/>
            <w:vAlign w:val="center"/>
            <w:hideMark/>
          </w:tcPr>
          <w:p w14:paraId="6CAC4E1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15</w:t>
            </w:r>
          </w:p>
        </w:tc>
        <w:tc>
          <w:tcPr>
            <w:tcW w:w="390" w:type="pct"/>
            <w:vAlign w:val="center"/>
            <w:hideMark/>
          </w:tcPr>
          <w:p w14:paraId="293BCBD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26</w:t>
            </w:r>
          </w:p>
        </w:tc>
        <w:tc>
          <w:tcPr>
            <w:tcW w:w="390" w:type="pct"/>
            <w:vAlign w:val="center"/>
            <w:hideMark/>
          </w:tcPr>
          <w:p w14:paraId="76073BF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32</w:t>
            </w:r>
          </w:p>
        </w:tc>
        <w:tc>
          <w:tcPr>
            <w:tcW w:w="391" w:type="pct"/>
            <w:vAlign w:val="center"/>
            <w:hideMark/>
          </w:tcPr>
          <w:p w14:paraId="0E9526B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34</w:t>
            </w:r>
          </w:p>
        </w:tc>
        <w:tc>
          <w:tcPr>
            <w:tcW w:w="390" w:type="pct"/>
            <w:vAlign w:val="center"/>
          </w:tcPr>
          <w:p w14:paraId="0AF9F66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33</w:t>
            </w:r>
          </w:p>
        </w:tc>
        <w:tc>
          <w:tcPr>
            <w:tcW w:w="390" w:type="pct"/>
            <w:vAlign w:val="center"/>
          </w:tcPr>
          <w:p w14:paraId="326E4CF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41</w:t>
            </w:r>
          </w:p>
        </w:tc>
        <w:tc>
          <w:tcPr>
            <w:tcW w:w="390" w:type="pct"/>
            <w:vAlign w:val="center"/>
          </w:tcPr>
          <w:p w14:paraId="4C8B9C7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41</w:t>
            </w:r>
          </w:p>
        </w:tc>
        <w:tc>
          <w:tcPr>
            <w:tcW w:w="390" w:type="pct"/>
            <w:vAlign w:val="center"/>
          </w:tcPr>
          <w:p w14:paraId="22FF2B7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51</w:t>
            </w:r>
          </w:p>
        </w:tc>
        <w:tc>
          <w:tcPr>
            <w:tcW w:w="391" w:type="pct"/>
            <w:vAlign w:val="center"/>
          </w:tcPr>
          <w:p w14:paraId="32328B8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2</w:t>
            </w:r>
          </w:p>
        </w:tc>
      </w:tr>
      <w:tr w:rsidR="00BC7922" w:rsidRPr="003C13ED" w14:paraId="0262187C" w14:textId="77777777" w:rsidTr="00C42096">
        <w:trPr>
          <w:trHeight w:val="295"/>
        </w:trPr>
        <w:tc>
          <w:tcPr>
            <w:cnfStyle w:val="001000000000" w:firstRow="0" w:lastRow="0" w:firstColumn="1" w:lastColumn="0" w:oddVBand="0" w:evenVBand="0" w:oddHBand="0" w:evenHBand="0" w:firstRowFirstColumn="0" w:firstRowLastColumn="0" w:lastRowFirstColumn="0" w:lastRowLastColumn="0"/>
            <w:tcW w:w="1096" w:type="pct"/>
            <w:noWrap/>
            <w:vAlign w:val="center"/>
            <w:hideMark/>
          </w:tcPr>
          <w:p w14:paraId="782456D8" w14:textId="77777777" w:rsidR="00BC7922" w:rsidRPr="003C13ED" w:rsidRDefault="00BC7922" w:rsidP="00C42096">
            <w:pPr>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Vision</w:t>
            </w:r>
          </w:p>
        </w:tc>
        <w:tc>
          <w:tcPr>
            <w:tcW w:w="390" w:type="pct"/>
            <w:noWrap/>
            <w:vAlign w:val="center"/>
            <w:hideMark/>
          </w:tcPr>
          <w:p w14:paraId="2524839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w:t>
            </w:r>
          </w:p>
        </w:tc>
        <w:tc>
          <w:tcPr>
            <w:tcW w:w="390" w:type="pct"/>
            <w:noWrap/>
            <w:vAlign w:val="center"/>
            <w:hideMark/>
          </w:tcPr>
          <w:p w14:paraId="04D84F7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43</w:t>
            </w:r>
          </w:p>
        </w:tc>
        <w:tc>
          <w:tcPr>
            <w:tcW w:w="390" w:type="pct"/>
            <w:vAlign w:val="center"/>
            <w:hideMark/>
          </w:tcPr>
          <w:p w14:paraId="796DFA8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36</w:t>
            </w:r>
          </w:p>
        </w:tc>
        <w:tc>
          <w:tcPr>
            <w:tcW w:w="390" w:type="pct"/>
            <w:vAlign w:val="center"/>
            <w:hideMark/>
          </w:tcPr>
          <w:p w14:paraId="0B31B70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39</w:t>
            </w:r>
          </w:p>
        </w:tc>
        <w:tc>
          <w:tcPr>
            <w:tcW w:w="391" w:type="pct"/>
            <w:vAlign w:val="center"/>
            <w:hideMark/>
          </w:tcPr>
          <w:p w14:paraId="0D47969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42</w:t>
            </w:r>
          </w:p>
        </w:tc>
        <w:tc>
          <w:tcPr>
            <w:tcW w:w="390" w:type="pct"/>
            <w:vAlign w:val="center"/>
          </w:tcPr>
          <w:p w14:paraId="0E68A27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48</w:t>
            </w:r>
          </w:p>
        </w:tc>
        <w:tc>
          <w:tcPr>
            <w:tcW w:w="390" w:type="pct"/>
            <w:vAlign w:val="center"/>
          </w:tcPr>
          <w:p w14:paraId="5F2D0B3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53</w:t>
            </w:r>
          </w:p>
        </w:tc>
        <w:tc>
          <w:tcPr>
            <w:tcW w:w="390" w:type="pct"/>
            <w:vAlign w:val="center"/>
          </w:tcPr>
          <w:p w14:paraId="5E13227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61</w:t>
            </w:r>
          </w:p>
        </w:tc>
        <w:tc>
          <w:tcPr>
            <w:tcW w:w="390" w:type="pct"/>
            <w:vAlign w:val="center"/>
          </w:tcPr>
          <w:p w14:paraId="1F1E8DB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72</w:t>
            </w:r>
          </w:p>
        </w:tc>
        <w:tc>
          <w:tcPr>
            <w:tcW w:w="391" w:type="pct"/>
            <w:vAlign w:val="center"/>
          </w:tcPr>
          <w:p w14:paraId="722EA44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18"/>
                <w:szCs w:val="18"/>
              </w:rPr>
            </w:pPr>
            <w:r w:rsidRPr="003C13ED">
              <w:rPr>
                <w:rFonts w:ascii="Franklin Gothic Book" w:eastAsia="Times New Roman" w:hAnsi="Franklin Gothic Book" w:cs="Calibri"/>
                <w:color w:val="000000"/>
                <w:sz w:val="18"/>
                <w:szCs w:val="18"/>
              </w:rPr>
              <w:t>96</w:t>
            </w:r>
          </w:p>
        </w:tc>
      </w:tr>
    </w:tbl>
    <w:p w14:paraId="0851FFED" w14:textId="77777777" w:rsidR="00BC7922" w:rsidRDefault="00BC7922" w:rsidP="00BC7922">
      <w:pPr>
        <w:pStyle w:val="Caption"/>
        <w:keepNext/>
        <w:rPr>
          <w:rFonts w:ascii="Franklin Gothic Book" w:hAnsi="Franklin Gothic Book"/>
        </w:rPr>
      </w:pPr>
    </w:p>
    <w:p w14:paraId="4CD3E763" w14:textId="77777777" w:rsidR="00BC7922" w:rsidRPr="005416F6" w:rsidRDefault="00BC7922" w:rsidP="00BC7922">
      <w:r w:rsidRPr="005416F6">
        <w:t>Chronic health conditions showed the most dramatic growth this year, nearly doubling from the previous year, while mental health and ADHD registrations each grew by over 400 students. These trends underscore the evolving complexity of student needs and the importance of comprehensive, flexible accommodation strategies</w:t>
      </w:r>
      <w:r>
        <w:t xml:space="preserve">. Additionally, the DRC has done more work to authenticate documentation and assign diagnoses to the most appropriate category. </w:t>
      </w:r>
    </w:p>
    <w:p w14:paraId="7860ABF3" w14:textId="77777777" w:rsidR="00BC7922" w:rsidRPr="003C13ED" w:rsidRDefault="00BC7922" w:rsidP="00BC7922">
      <w:pPr>
        <w:pStyle w:val="Caption"/>
        <w:keepNext/>
        <w:jc w:val="center"/>
        <w:rPr>
          <w:rFonts w:ascii="Franklin Gothic Book" w:hAnsi="Franklin Gothic Book"/>
          <w:sz w:val="20"/>
          <w:szCs w:val="20"/>
        </w:rPr>
      </w:pPr>
      <w:r w:rsidRPr="003C13ED">
        <w:rPr>
          <w:rFonts w:ascii="Franklin Gothic Book" w:hAnsi="Franklin Gothic Book"/>
          <w:sz w:val="20"/>
          <w:szCs w:val="20"/>
        </w:rPr>
        <w:lastRenderedPageBreak/>
        <w:t xml:space="preserve">Table </w:t>
      </w:r>
      <w:r>
        <w:rPr>
          <w:rFonts w:ascii="Franklin Gothic Book" w:hAnsi="Franklin Gothic Book"/>
          <w:noProof/>
          <w:sz w:val="20"/>
          <w:szCs w:val="20"/>
        </w:rPr>
        <w:t>3</w:t>
      </w:r>
      <w:r w:rsidRPr="003C13ED">
        <w:rPr>
          <w:rFonts w:ascii="Franklin Gothic Book" w:hAnsi="Franklin Gothic Book"/>
          <w:sz w:val="20"/>
          <w:szCs w:val="20"/>
        </w:rPr>
        <w:t xml:space="preserve">: </w:t>
      </w:r>
      <w:r>
        <w:rPr>
          <w:rFonts w:ascii="Franklin Gothic Book" w:hAnsi="Franklin Gothic Book"/>
          <w:sz w:val="20"/>
          <w:szCs w:val="20"/>
        </w:rPr>
        <w:t>Campus</w:t>
      </w:r>
      <w:r w:rsidRPr="003C13ED">
        <w:rPr>
          <w:rFonts w:ascii="Franklin Gothic Book" w:hAnsi="Franklin Gothic Book"/>
          <w:sz w:val="20"/>
          <w:szCs w:val="20"/>
        </w:rPr>
        <w:t xml:space="preserve"> (Percent of Total Population in Parentheses)</w:t>
      </w:r>
    </w:p>
    <w:tbl>
      <w:tblPr>
        <w:tblStyle w:val="PlainTable1"/>
        <w:tblW w:w="3249" w:type="dxa"/>
        <w:tblLook w:val="04A0" w:firstRow="1" w:lastRow="0" w:firstColumn="1" w:lastColumn="0" w:noHBand="0" w:noVBand="1"/>
      </w:tblPr>
      <w:tblGrid>
        <w:gridCol w:w="1736"/>
        <w:gridCol w:w="1513"/>
      </w:tblGrid>
      <w:tr w:rsidR="00BC7922" w:rsidRPr="003C13ED" w14:paraId="624DDE31" w14:textId="77777777" w:rsidTr="00C4209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B188E2" w14:textId="77777777" w:rsidR="00BC7922" w:rsidRPr="003C13ED" w:rsidRDefault="00BC7922" w:rsidP="00C42096">
            <w:pPr>
              <w:rPr>
                <w:rFonts w:ascii="Franklin Gothic Book" w:eastAsia="Times New Roman" w:hAnsi="Franklin Gothic Book" w:cs="Tahoma"/>
                <w:color w:val="000000"/>
                <w:sz w:val="18"/>
                <w:szCs w:val="18"/>
              </w:rPr>
            </w:pPr>
          </w:p>
        </w:tc>
        <w:tc>
          <w:tcPr>
            <w:tcW w:w="0" w:type="auto"/>
            <w:vAlign w:val="center"/>
          </w:tcPr>
          <w:p w14:paraId="48DD0677" w14:textId="77777777" w:rsidR="00BC7922" w:rsidRPr="003C13ED" w:rsidRDefault="00BC7922" w:rsidP="00C42096">
            <w:pPr>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sz w:val="16"/>
                <w:szCs w:val="16"/>
              </w:rPr>
            </w:pPr>
            <w:r w:rsidRPr="0074026B">
              <w:rPr>
                <w:rFonts w:ascii="Franklin Gothic Book" w:hAnsi="Franklin Gothic Book"/>
                <w:sz w:val="18"/>
                <w:szCs w:val="18"/>
              </w:rPr>
              <w:t>2024-2025</w:t>
            </w:r>
          </w:p>
        </w:tc>
      </w:tr>
      <w:tr w:rsidR="00BC7922" w:rsidRPr="003C13ED" w14:paraId="55B74FFE" w14:textId="77777777" w:rsidTr="00C4209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51EB45" w14:textId="77777777" w:rsidR="00BC7922" w:rsidRPr="003C13ED" w:rsidRDefault="00BC7922" w:rsidP="00C42096">
            <w:pPr>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West Lafayette</w:t>
            </w:r>
          </w:p>
        </w:tc>
        <w:tc>
          <w:tcPr>
            <w:tcW w:w="0" w:type="auto"/>
            <w:vAlign w:val="center"/>
          </w:tcPr>
          <w:p w14:paraId="41BB9E5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5418</w:t>
            </w:r>
            <w:r w:rsidRPr="003C13ED">
              <w:rPr>
                <w:rFonts w:ascii="Franklin Gothic Book" w:hAnsi="Franklin Gothic Book"/>
                <w:sz w:val="18"/>
                <w:szCs w:val="18"/>
              </w:rPr>
              <w:t xml:space="preserve"> (9.5%)</w:t>
            </w:r>
          </w:p>
        </w:tc>
      </w:tr>
      <w:tr w:rsidR="00BC7922" w:rsidRPr="003C13ED" w14:paraId="719D8164" w14:textId="77777777" w:rsidTr="00C42096">
        <w:trPr>
          <w:trHeight w:val="28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84A6ED" w14:textId="77777777" w:rsidR="00BC7922" w:rsidRPr="003C13ED" w:rsidRDefault="00BC7922" w:rsidP="00C42096">
            <w:pPr>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Indianapolis</w:t>
            </w:r>
          </w:p>
        </w:tc>
        <w:tc>
          <w:tcPr>
            <w:tcW w:w="0" w:type="auto"/>
            <w:vAlign w:val="center"/>
          </w:tcPr>
          <w:p w14:paraId="2004C24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8"/>
                <w:szCs w:val="18"/>
              </w:rPr>
            </w:pPr>
            <w:r>
              <w:rPr>
                <w:rFonts w:ascii="Franklin Gothic Book" w:hAnsi="Franklin Gothic Book"/>
                <w:sz w:val="18"/>
                <w:szCs w:val="18"/>
              </w:rPr>
              <w:t>196</w:t>
            </w:r>
            <w:r w:rsidRPr="003C13ED">
              <w:rPr>
                <w:rFonts w:ascii="Franklin Gothic Book" w:hAnsi="Franklin Gothic Book"/>
                <w:sz w:val="18"/>
                <w:szCs w:val="18"/>
              </w:rPr>
              <w:t xml:space="preserve"> (6.7%)</w:t>
            </w:r>
          </w:p>
        </w:tc>
      </w:tr>
      <w:tr w:rsidR="00BC7922" w:rsidRPr="003C13ED" w14:paraId="55D941CC" w14:textId="77777777" w:rsidTr="00C4209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79DF9A" w14:textId="77777777" w:rsidR="00BC7922" w:rsidRPr="003C13ED" w:rsidRDefault="00BC7922" w:rsidP="00C42096">
            <w:pPr>
              <w:rPr>
                <w:rFonts w:ascii="Franklin Gothic Book" w:eastAsia="Times New Roman" w:hAnsi="Franklin Gothic Book" w:cs="Tahoma"/>
                <w:b w:val="0"/>
                <w:bCs w:val="0"/>
                <w:color w:val="000000"/>
                <w:sz w:val="18"/>
                <w:szCs w:val="18"/>
              </w:rPr>
            </w:pPr>
            <w:r w:rsidRPr="003C13ED">
              <w:rPr>
                <w:rFonts w:ascii="Franklin Gothic Book" w:eastAsia="Times New Roman" w:hAnsi="Franklin Gothic Book" w:cs="Tahoma"/>
                <w:color w:val="000000"/>
                <w:sz w:val="18"/>
                <w:szCs w:val="18"/>
              </w:rPr>
              <w:t>Total</w:t>
            </w:r>
          </w:p>
        </w:tc>
        <w:tc>
          <w:tcPr>
            <w:tcW w:w="0" w:type="auto"/>
            <w:vAlign w:val="center"/>
          </w:tcPr>
          <w:p w14:paraId="5883DD9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sz w:val="18"/>
                <w:szCs w:val="18"/>
              </w:rPr>
            </w:pPr>
            <w:r w:rsidRPr="003C13ED">
              <w:rPr>
                <w:rFonts w:ascii="Franklin Gothic Book" w:hAnsi="Franklin Gothic Book"/>
                <w:b/>
                <w:bCs/>
                <w:sz w:val="18"/>
                <w:szCs w:val="18"/>
              </w:rPr>
              <w:t>56</w:t>
            </w:r>
            <w:r>
              <w:rPr>
                <w:rFonts w:ascii="Franklin Gothic Book" w:hAnsi="Franklin Gothic Book"/>
                <w:b/>
                <w:bCs/>
                <w:sz w:val="18"/>
                <w:szCs w:val="18"/>
              </w:rPr>
              <w:t>14</w:t>
            </w:r>
          </w:p>
        </w:tc>
      </w:tr>
    </w:tbl>
    <w:p w14:paraId="0ABE1BAF" w14:textId="77777777" w:rsidR="00BC7922" w:rsidRPr="003C13ED" w:rsidRDefault="00BC7922" w:rsidP="00BC7922">
      <w:pPr>
        <w:rPr>
          <w:rFonts w:ascii="Franklin Gothic Book" w:hAnsi="Franklin Gothic Book"/>
          <w:sz w:val="20"/>
          <w:szCs w:val="20"/>
        </w:rPr>
      </w:pPr>
    </w:p>
    <w:p w14:paraId="3A38C39E" w14:textId="77777777" w:rsidR="00BC7922" w:rsidRPr="003C13ED" w:rsidRDefault="00BC7922" w:rsidP="00BC7922">
      <w:pPr>
        <w:pStyle w:val="Caption"/>
        <w:keepNext/>
        <w:jc w:val="center"/>
        <w:rPr>
          <w:rFonts w:ascii="Franklin Gothic Book" w:hAnsi="Franklin Gothic Book"/>
          <w:sz w:val="20"/>
          <w:szCs w:val="20"/>
        </w:rPr>
      </w:pPr>
      <w:r w:rsidRPr="003C13ED">
        <w:rPr>
          <w:rFonts w:ascii="Franklin Gothic Book" w:hAnsi="Franklin Gothic Book"/>
          <w:sz w:val="20"/>
          <w:szCs w:val="20"/>
        </w:rPr>
        <w:t xml:space="preserve">Table </w:t>
      </w:r>
      <w:r>
        <w:rPr>
          <w:rFonts w:ascii="Franklin Gothic Book" w:hAnsi="Franklin Gothic Book"/>
          <w:noProof/>
          <w:sz w:val="20"/>
          <w:szCs w:val="20"/>
        </w:rPr>
        <w:t>4</w:t>
      </w:r>
      <w:r w:rsidRPr="003C13ED">
        <w:rPr>
          <w:rFonts w:ascii="Franklin Gothic Book" w:hAnsi="Franklin Gothic Book"/>
          <w:sz w:val="20"/>
          <w:szCs w:val="20"/>
        </w:rPr>
        <w:t>: Residency (Percent of Total Population in Parentheses)</w:t>
      </w:r>
    </w:p>
    <w:tbl>
      <w:tblPr>
        <w:tblStyle w:val="PlainTable1"/>
        <w:tblW w:w="5000" w:type="pct"/>
        <w:tblLook w:val="04A0" w:firstRow="1" w:lastRow="0" w:firstColumn="1" w:lastColumn="0" w:noHBand="0" w:noVBand="1"/>
      </w:tblPr>
      <w:tblGrid>
        <w:gridCol w:w="1246"/>
        <w:gridCol w:w="883"/>
        <w:gridCol w:w="883"/>
        <w:gridCol w:w="883"/>
        <w:gridCol w:w="883"/>
        <w:gridCol w:w="882"/>
        <w:gridCol w:w="882"/>
        <w:gridCol w:w="882"/>
        <w:gridCol w:w="882"/>
        <w:gridCol w:w="882"/>
        <w:gridCol w:w="882"/>
      </w:tblGrid>
      <w:tr w:rsidR="00BC7922" w:rsidRPr="003C13ED" w14:paraId="3644FA8D" w14:textId="77777777" w:rsidTr="00C4209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18" w:type="pct"/>
            <w:noWrap/>
            <w:hideMark/>
          </w:tcPr>
          <w:p w14:paraId="2EB56355" w14:textId="77777777" w:rsidR="00BC7922" w:rsidRPr="003C13ED" w:rsidRDefault="00BC7922" w:rsidP="00C42096">
            <w:pPr>
              <w:jc w:val="center"/>
              <w:rPr>
                <w:rFonts w:ascii="Franklin Gothic Book" w:eastAsia="Times New Roman" w:hAnsi="Franklin Gothic Book" w:cs="Times New Roman"/>
                <w:sz w:val="18"/>
                <w:szCs w:val="18"/>
              </w:rPr>
            </w:pPr>
          </w:p>
        </w:tc>
        <w:tc>
          <w:tcPr>
            <w:tcW w:w="438" w:type="pct"/>
            <w:noWrap/>
            <w:hideMark/>
          </w:tcPr>
          <w:p w14:paraId="7FB09309"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b w:val="0"/>
                <w:bCs w:val="0"/>
                <w:color w:val="000000"/>
                <w:sz w:val="18"/>
                <w:szCs w:val="18"/>
              </w:rPr>
            </w:pPr>
            <w:r w:rsidRPr="003C13ED">
              <w:rPr>
                <w:rFonts w:ascii="Franklin Gothic Book" w:eastAsia="Times New Roman" w:hAnsi="Franklin Gothic Book" w:cs="Times New Roman"/>
                <w:color w:val="000000"/>
                <w:sz w:val="18"/>
                <w:szCs w:val="18"/>
              </w:rPr>
              <w:t>2015-</w:t>
            </w:r>
          </w:p>
          <w:p w14:paraId="3405B456"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2016</w:t>
            </w:r>
          </w:p>
        </w:tc>
        <w:tc>
          <w:tcPr>
            <w:tcW w:w="438" w:type="pct"/>
            <w:noWrap/>
            <w:hideMark/>
          </w:tcPr>
          <w:p w14:paraId="59E408A7"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b w:val="0"/>
                <w:bCs w:val="0"/>
                <w:color w:val="000000"/>
                <w:sz w:val="18"/>
                <w:szCs w:val="18"/>
              </w:rPr>
            </w:pPr>
            <w:r w:rsidRPr="003C13ED">
              <w:rPr>
                <w:rFonts w:ascii="Franklin Gothic Book" w:eastAsia="Times New Roman" w:hAnsi="Franklin Gothic Book" w:cs="Times New Roman"/>
                <w:color w:val="000000"/>
                <w:sz w:val="18"/>
                <w:szCs w:val="18"/>
              </w:rPr>
              <w:t>2016-</w:t>
            </w:r>
          </w:p>
          <w:p w14:paraId="1C2CDE77"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2017</w:t>
            </w:r>
          </w:p>
        </w:tc>
        <w:tc>
          <w:tcPr>
            <w:tcW w:w="438" w:type="pct"/>
          </w:tcPr>
          <w:p w14:paraId="005F2F03"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2017-2018</w:t>
            </w:r>
          </w:p>
        </w:tc>
        <w:tc>
          <w:tcPr>
            <w:tcW w:w="438" w:type="pct"/>
          </w:tcPr>
          <w:p w14:paraId="5E9B26E8"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2018-2019</w:t>
            </w:r>
          </w:p>
        </w:tc>
        <w:tc>
          <w:tcPr>
            <w:tcW w:w="438" w:type="pct"/>
          </w:tcPr>
          <w:p w14:paraId="0130818E"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2019-2020</w:t>
            </w:r>
          </w:p>
        </w:tc>
        <w:tc>
          <w:tcPr>
            <w:tcW w:w="438" w:type="pct"/>
          </w:tcPr>
          <w:p w14:paraId="3CE6DC5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2020-2021</w:t>
            </w:r>
          </w:p>
        </w:tc>
        <w:tc>
          <w:tcPr>
            <w:tcW w:w="438" w:type="pct"/>
          </w:tcPr>
          <w:p w14:paraId="7F9F881C"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2021-2022</w:t>
            </w:r>
          </w:p>
        </w:tc>
        <w:tc>
          <w:tcPr>
            <w:tcW w:w="438" w:type="pct"/>
          </w:tcPr>
          <w:p w14:paraId="2635A0AC"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2022-2023</w:t>
            </w:r>
          </w:p>
        </w:tc>
        <w:tc>
          <w:tcPr>
            <w:tcW w:w="438" w:type="pct"/>
          </w:tcPr>
          <w:p w14:paraId="72619BC1"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2023-2024</w:t>
            </w:r>
          </w:p>
        </w:tc>
        <w:tc>
          <w:tcPr>
            <w:tcW w:w="438" w:type="pct"/>
          </w:tcPr>
          <w:p w14:paraId="25A140F0"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2024-2025</w:t>
            </w:r>
          </w:p>
        </w:tc>
      </w:tr>
      <w:tr w:rsidR="00BC7922" w:rsidRPr="003C13ED" w14:paraId="6AADA1F6" w14:textId="77777777" w:rsidTr="00C4209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18" w:type="pct"/>
            <w:noWrap/>
            <w:hideMark/>
          </w:tcPr>
          <w:p w14:paraId="0F4CB204" w14:textId="77777777" w:rsidR="00BC7922" w:rsidRPr="003C13ED" w:rsidRDefault="00BC7922" w:rsidP="00C42096">
            <w:pPr>
              <w:jc w:val="center"/>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Resident</w:t>
            </w:r>
          </w:p>
        </w:tc>
        <w:tc>
          <w:tcPr>
            <w:tcW w:w="438" w:type="pct"/>
            <w:noWrap/>
            <w:hideMark/>
          </w:tcPr>
          <w:p w14:paraId="0C55FF2D" w14:textId="77777777" w:rsidR="00BC7922"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772</w:t>
            </w:r>
          </w:p>
          <w:p w14:paraId="5A2B0BE8"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 (4.0%)</w:t>
            </w:r>
          </w:p>
        </w:tc>
        <w:tc>
          <w:tcPr>
            <w:tcW w:w="438" w:type="pct"/>
            <w:noWrap/>
            <w:hideMark/>
          </w:tcPr>
          <w:p w14:paraId="4074A3B7" w14:textId="77777777" w:rsidR="00BC7922"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855</w:t>
            </w:r>
          </w:p>
          <w:p w14:paraId="55B9748D"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 (4.4%)</w:t>
            </w:r>
          </w:p>
        </w:tc>
        <w:tc>
          <w:tcPr>
            <w:tcW w:w="438" w:type="pct"/>
          </w:tcPr>
          <w:p w14:paraId="46B93398"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1052 (5.3%)</w:t>
            </w:r>
          </w:p>
        </w:tc>
        <w:tc>
          <w:tcPr>
            <w:tcW w:w="438" w:type="pct"/>
          </w:tcPr>
          <w:p w14:paraId="49FD170C"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1351 (6.5%)</w:t>
            </w:r>
          </w:p>
        </w:tc>
        <w:tc>
          <w:tcPr>
            <w:tcW w:w="438" w:type="pct"/>
          </w:tcPr>
          <w:p w14:paraId="0D6A167B"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1545 (7.3%)</w:t>
            </w:r>
          </w:p>
        </w:tc>
        <w:tc>
          <w:tcPr>
            <w:tcW w:w="438" w:type="pct"/>
          </w:tcPr>
          <w:p w14:paraId="39ED2E79"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1478 (6.7%)</w:t>
            </w:r>
          </w:p>
        </w:tc>
        <w:tc>
          <w:tcPr>
            <w:tcW w:w="438" w:type="pct"/>
          </w:tcPr>
          <w:p w14:paraId="5B1C9DDD"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1621 (7.7%)</w:t>
            </w:r>
          </w:p>
        </w:tc>
        <w:tc>
          <w:tcPr>
            <w:tcW w:w="438" w:type="pct"/>
          </w:tcPr>
          <w:p w14:paraId="73E1132E"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1803 (8.4%)</w:t>
            </w:r>
          </w:p>
        </w:tc>
        <w:tc>
          <w:tcPr>
            <w:tcW w:w="438" w:type="pct"/>
          </w:tcPr>
          <w:p w14:paraId="1CA9BB22"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2100 (9.9%</w:t>
            </w:r>
          </w:p>
        </w:tc>
        <w:tc>
          <w:tcPr>
            <w:tcW w:w="438" w:type="pct"/>
          </w:tcPr>
          <w:p w14:paraId="367CBEB9"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2535</w:t>
            </w:r>
            <w:r w:rsidRPr="003C13ED">
              <w:rPr>
                <w:rFonts w:ascii="Franklin Gothic Book" w:eastAsia="Times New Roman" w:hAnsi="Franklin Gothic Book" w:cs="Times New Roman"/>
                <w:color w:val="000000"/>
                <w:sz w:val="18"/>
                <w:szCs w:val="18"/>
              </w:rPr>
              <w:br/>
              <w:t>(10.8%)</w:t>
            </w:r>
          </w:p>
        </w:tc>
      </w:tr>
      <w:tr w:rsidR="00BC7922" w:rsidRPr="003C13ED" w14:paraId="029E0574" w14:textId="77777777" w:rsidTr="00C42096">
        <w:trPr>
          <w:trHeight w:val="314"/>
        </w:trPr>
        <w:tc>
          <w:tcPr>
            <w:cnfStyle w:val="001000000000" w:firstRow="0" w:lastRow="0" w:firstColumn="1" w:lastColumn="0" w:oddVBand="0" w:evenVBand="0" w:oddHBand="0" w:evenHBand="0" w:firstRowFirstColumn="0" w:firstRowLastColumn="0" w:lastRowFirstColumn="0" w:lastRowLastColumn="0"/>
            <w:tcW w:w="618" w:type="pct"/>
            <w:noWrap/>
            <w:hideMark/>
          </w:tcPr>
          <w:p w14:paraId="222B43A5" w14:textId="77777777" w:rsidR="00BC7922" w:rsidRPr="003C13ED" w:rsidRDefault="00BC7922" w:rsidP="00C42096">
            <w:pPr>
              <w:jc w:val="center"/>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Non-Resident</w:t>
            </w:r>
          </w:p>
        </w:tc>
        <w:tc>
          <w:tcPr>
            <w:tcW w:w="438" w:type="pct"/>
            <w:noWrap/>
            <w:hideMark/>
          </w:tcPr>
          <w:p w14:paraId="70CECC48" w14:textId="77777777" w:rsidR="00BC7922"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564 </w:t>
            </w:r>
          </w:p>
          <w:p w14:paraId="487FE0F7"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(4.3%)</w:t>
            </w:r>
          </w:p>
        </w:tc>
        <w:tc>
          <w:tcPr>
            <w:tcW w:w="438" w:type="pct"/>
            <w:noWrap/>
            <w:hideMark/>
          </w:tcPr>
          <w:p w14:paraId="6CE6327A" w14:textId="77777777" w:rsidR="00BC7922"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694 </w:t>
            </w:r>
          </w:p>
          <w:p w14:paraId="562B6EDA"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(5.0%)</w:t>
            </w:r>
          </w:p>
        </w:tc>
        <w:tc>
          <w:tcPr>
            <w:tcW w:w="438" w:type="pct"/>
          </w:tcPr>
          <w:p w14:paraId="5B4876D6"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874 (5.9%)</w:t>
            </w:r>
          </w:p>
        </w:tc>
        <w:tc>
          <w:tcPr>
            <w:tcW w:w="438" w:type="pct"/>
          </w:tcPr>
          <w:p w14:paraId="0603E130"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1132 (7.0%)</w:t>
            </w:r>
          </w:p>
        </w:tc>
        <w:tc>
          <w:tcPr>
            <w:tcW w:w="438" w:type="pct"/>
          </w:tcPr>
          <w:p w14:paraId="5DE2A210"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1339 (7.7%)</w:t>
            </w:r>
          </w:p>
        </w:tc>
        <w:tc>
          <w:tcPr>
            <w:tcW w:w="438" w:type="pct"/>
          </w:tcPr>
          <w:p w14:paraId="5A701F6B"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1396 (7.2%)</w:t>
            </w:r>
          </w:p>
        </w:tc>
        <w:tc>
          <w:tcPr>
            <w:tcW w:w="438" w:type="pct"/>
          </w:tcPr>
          <w:p w14:paraId="1A724362"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1748 (8.3%)</w:t>
            </w:r>
          </w:p>
        </w:tc>
        <w:tc>
          <w:tcPr>
            <w:tcW w:w="438" w:type="pct"/>
          </w:tcPr>
          <w:p w14:paraId="2C8FD594"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1998 (9.1%)</w:t>
            </w:r>
          </w:p>
        </w:tc>
        <w:tc>
          <w:tcPr>
            <w:tcW w:w="438" w:type="pct"/>
          </w:tcPr>
          <w:p w14:paraId="2501537A"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2333 (10.0%</w:t>
            </w:r>
          </w:p>
        </w:tc>
        <w:tc>
          <w:tcPr>
            <w:tcW w:w="438" w:type="pct"/>
          </w:tcPr>
          <w:p w14:paraId="3EEC3873"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2777</w:t>
            </w:r>
          </w:p>
          <w:p w14:paraId="073E7869" w14:textId="77777777" w:rsidR="00BC7922" w:rsidRPr="003C13ED" w:rsidRDefault="00BC7922" w:rsidP="00C42096">
            <w:pPr>
              <w:jc w:val="cente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(10.5%)</w:t>
            </w:r>
          </w:p>
        </w:tc>
      </w:tr>
      <w:tr w:rsidR="00BC7922" w:rsidRPr="003C13ED" w14:paraId="6B4D0C97" w14:textId="77777777" w:rsidTr="00C4209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18" w:type="pct"/>
            <w:noWrap/>
            <w:hideMark/>
          </w:tcPr>
          <w:p w14:paraId="0343D430" w14:textId="77777777" w:rsidR="00BC7922" w:rsidRPr="003C13ED" w:rsidRDefault="00BC7922" w:rsidP="00C42096">
            <w:pPr>
              <w:jc w:val="center"/>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International</w:t>
            </w:r>
          </w:p>
        </w:tc>
        <w:tc>
          <w:tcPr>
            <w:tcW w:w="438" w:type="pct"/>
            <w:noWrap/>
            <w:hideMark/>
          </w:tcPr>
          <w:p w14:paraId="5C2FECE3" w14:textId="77777777" w:rsidR="00BC7922"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68 </w:t>
            </w:r>
          </w:p>
          <w:p w14:paraId="359F9AD3"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(0.7%)</w:t>
            </w:r>
          </w:p>
        </w:tc>
        <w:tc>
          <w:tcPr>
            <w:tcW w:w="438" w:type="pct"/>
            <w:noWrap/>
            <w:hideMark/>
          </w:tcPr>
          <w:p w14:paraId="47036519" w14:textId="77777777" w:rsidR="00BC7922"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 xml:space="preserve">67 </w:t>
            </w:r>
          </w:p>
          <w:p w14:paraId="684A3EC1"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(0.7%)</w:t>
            </w:r>
          </w:p>
        </w:tc>
        <w:tc>
          <w:tcPr>
            <w:tcW w:w="438" w:type="pct"/>
          </w:tcPr>
          <w:p w14:paraId="035667AE"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94 (1.0%)</w:t>
            </w:r>
          </w:p>
        </w:tc>
        <w:tc>
          <w:tcPr>
            <w:tcW w:w="438" w:type="pct"/>
          </w:tcPr>
          <w:p w14:paraId="24D43177"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139 (1.5%)</w:t>
            </w:r>
          </w:p>
        </w:tc>
        <w:tc>
          <w:tcPr>
            <w:tcW w:w="438" w:type="pct"/>
          </w:tcPr>
          <w:p w14:paraId="7B7A5EFE"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161 (1.7%)</w:t>
            </w:r>
          </w:p>
        </w:tc>
        <w:tc>
          <w:tcPr>
            <w:tcW w:w="438" w:type="pct"/>
          </w:tcPr>
          <w:p w14:paraId="209B4264"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142 (1.6%)</w:t>
            </w:r>
          </w:p>
        </w:tc>
        <w:tc>
          <w:tcPr>
            <w:tcW w:w="438" w:type="pct"/>
          </w:tcPr>
          <w:p w14:paraId="7F4EC393"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150 (1.6%)</w:t>
            </w:r>
          </w:p>
        </w:tc>
        <w:tc>
          <w:tcPr>
            <w:tcW w:w="438" w:type="pct"/>
          </w:tcPr>
          <w:p w14:paraId="0BB1E906"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191 (2.0%)</w:t>
            </w:r>
          </w:p>
        </w:tc>
        <w:tc>
          <w:tcPr>
            <w:tcW w:w="438" w:type="pct"/>
          </w:tcPr>
          <w:p w14:paraId="43454027"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238 (2.4%)</w:t>
            </w:r>
          </w:p>
        </w:tc>
        <w:tc>
          <w:tcPr>
            <w:tcW w:w="438" w:type="pct"/>
          </w:tcPr>
          <w:p w14:paraId="52BB021E" w14:textId="77777777" w:rsidR="00BC7922" w:rsidRPr="003C13ED" w:rsidRDefault="00BC7922" w:rsidP="00C42096">
            <w:pPr>
              <w:jc w:val="cente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18"/>
                <w:szCs w:val="18"/>
              </w:rPr>
            </w:pPr>
            <w:r w:rsidRPr="003C13ED">
              <w:rPr>
                <w:rFonts w:ascii="Franklin Gothic Book" w:eastAsia="Times New Roman" w:hAnsi="Franklin Gothic Book" w:cs="Times New Roman"/>
                <w:color w:val="000000"/>
                <w:sz w:val="18"/>
                <w:szCs w:val="18"/>
              </w:rPr>
              <w:t>302</w:t>
            </w:r>
            <w:r w:rsidRPr="003C13ED">
              <w:rPr>
                <w:rFonts w:ascii="Franklin Gothic Book" w:eastAsia="Times New Roman" w:hAnsi="Franklin Gothic Book" w:cs="Times New Roman"/>
                <w:color w:val="000000"/>
                <w:sz w:val="18"/>
                <w:szCs w:val="18"/>
              </w:rPr>
              <w:br/>
              <w:t>(2.9%)</w:t>
            </w:r>
          </w:p>
        </w:tc>
      </w:tr>
    </w:tbl>
    <w:p w14:paraId="05E8F8F1" w14:textId="77777777" w:rsidR="00BC7922" w:rsidRDefault="00BC7922" w:rsidP="00BC7922">
      <w:pPr>
        <w:rPr>
          <w:rFonts w:ascii="Franklin Gothic Book" w:hAnsi="Franklin Gothic Book"/>
          <w:sz w:val="20"/>
          <w:szCs w:val="20"/>
        </w:rPr>
      </w:pPr>
    </w:p>
    <w:p w14:paraId="55A2E13C" w14:textId="42EC9A02" w:rsidR="00BC7922" w:rsidRPr="005416F6" w:rsidRDefault="00BC7922" w:rsidP="00BC7922">
      <w:pPr>
        <w:suppressAutoHyphens/>
        <w:autoSpaceDN w:val="0"/>
        <w:spacing w:after="200" w:line="276" w:lineRule="auto"/>
        <w:textAlignment w:val="baseline"/>
        <w:rPr>
          <w:rFonts w:ascii="Calibri" w:hAnsi="Calibri" w:cs="Calibri"/>
        </w:rPr>
      </w:pPr>
      <w:r w:rsidRPr="005416F6">
        <w:rPr>
          <w:rFonts w:ascii="Calibri" w:hAnsi="Calibri" w:cs="Calibri"/>
        </w:rPr>
        <w:t xml:space="preserve">International student registration reached 302 (2.9% of international population), up from 238 (2.4%) the previous year. International student registration continues its upward trajectory, suggesting increased comfort with disclosure and growing awareness of DRC services among this population. </w:t>
      </w:r>
    </w:p>
    <w:p w14:paraId="64A790AA" w14:textId="77777777" w:rsidR="00BC7922" w:rsidRPr="003C13ED" w:rsidRDefault="00BC7922" w:rsidP="00BC7922">
      <w:pPr>
        <w:rPr>
          <w:rFonts w:ascii="Franklin Gothic Book" w:hAnsi="Franklin Gothic Book"/>
          <w:sz w:val="20"/>
          <w:szCs w:val="20"/>
        </w:rPr>
      </w:pPr>
    </w:p>
    <w:p w14:paraId="0B65A9BF" w14:textId="77777777" w:rsidR="00BC7922" w:rsidRPr="003C13ED" w:rsidRDefault="00BC7922" w:rsidP="00BC7922">
      <w:pPr>
        <w:pStyle w:val="Caption"/>
        <w:keepNext/>
        <w:jc w:val="center"/>
        <w:rPr>
          <w:rFonts w:ascii="Franklin Gothic Book" w:hAnsi="Franklin Gothic Book"/>
          <w:sz w:val="20"/>
          <w:szCs w:val="20"/>
        </w:rPr>
      </w:pPr>
      <w:r w:rsidRPr="003C13ED">
        <w:rPr>
          <w:rFonts w:ascii="Franklin Gothic Book" w:hAnsi="Franklin Gothic Book"/>
          <w:sz w:val="20"/>
          <w:szCs w:val="20"/>
        </w:rPr>
        <w:t>Table</w:t>
      </w:r>
      <w:r w:rsidRPr="003C13ED">
        <w:rPr>
          <w:rFonts w:ascii="Franklin Gothic Book" w:hAnsi="Franklin Gothic Book"/>
          <w:noProof/>
          <w:sz w:val="20"/>
          <w:szCs w:val="20"/>
        </w:rPr>
        <w:t xml:space="preserve"> </w:t>
      </w:r>
      <w:r>
        <w:rPr>
          <w:rFonts w:ascii="Franklin Gothic Book" w:hAnsi="Franklin Gothic Book"/>
          <w:noProof/>
          <w:sz w:val="20"/>
          <w:szCs w:val="20"/>
        </w:rPr>
        <w:t>5</w:t>
      </w:r>
      <w:r w:rsidRPr="003C13ED">
        <w:rPr>
          <w:rFonts w:ascii="Franklin Gothic Book" w:hAnsi="Franklin Gothic Book"/>
          <w:sz w:val="20"/>
          <w:szCs w:val="20"/>
        </w:rPr>
        <w:t>: Classification</w:t>
      </w:r>
    </w:p>
    <w:tbl>
      <w:tblPr>
        <w:tblStyle w:val="PlainTable1"/>
        <w:tblW w:w="0" w:type="auto"/>
        <w:tblLook w:val="04A0" w:firstRow="1" w:lastRow="0" w:firstColumn="1" w:lastColumn="0" w:noHBand="0" w:noVBand="1"/>
      </w:tblPr>
      <w:tblGrid>
        <w:gridCol w:w="1259"/>
        <w:gridCol w:w="881"/>
        <w:gridCol w:w="881"/>
        <w:gridCol w:w="881"/>
        <w:gridCol w:w="881"/>
        <w:gridCol w:w="881"/>
        <w:gridCol w:w="881"/>
        <w:gridCol w:w="881"/>
        <w:gridCol w:w="881"/>
        <w:gridCol w:w="881"/>
        <w:gridCol w:w="881"/>
      </w:tblGrid>
      <w:tr w:rsidR="00BC7922" w:rsidRPr="003C13ED" w14:paraId="06146D36" w14:textId="77777777" w:rsidTr="00C4209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2DABA6" w14:textId="77777777" w:rsidR="00BC7922" w:rsidRPr="003C13ED" w:rsidRDefault="00BC7922" w:rsidP="00C42096">
            <w:pPr>
              <w:rPr>
                <w:rFonts w:ascii="Franklin Gothic Book" w:eastAsia="Times New Roman" w:hAnsi="Franklin Gothic Book" w:cs="Times New Roman"/>
                <w:sz w:val="20"/>
                <w:szCs w:val="20"/>
              </w:rPr>
            </w:pPr>
          </w:p>
        </w:tc>
        <w:tc>
          <w:tcPr>
            <w:tcW w:w="881" w:type="dxa"/>
            <w:noWrap/>
            <w:vAlign w:val="center"/>
            <w:hideMark/>
          </w:tcPr>
          <w:p w14:paraId="311EE00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b w:val="0"/>
                <w:bCs w:val="0"/>
                <w:color w:val="000000"/>
                <w:sz w:val="20"/>
                <w:szCs w:val="20"/>
              </w:rPr>
            </w:pPr>
            <w:r w:rsidRPr="003C13ED">
              <w:rPr>
                <w:rFonts w:ascii="Franklin Gothic Book" w:eastAsia="Times New Roman" w:hAnsi="Franklin Gothic Book" w:cs="Times New Roman"/>
                <w:color w:val="000000"/>
                <w:sz w:val="20"/>
                <w:szCs w:val="20"/>
              </w:rPr>
              <w:t>2015-</w:t>
            </w:r>
          </w:p>
          <w:p w14:paraId="0885A638"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2016</w:t>
            </w:r>
          </w:p>
        </w:tc>
        <w:tc>
          <w:tcPr>
            <w:tcW w:w="881" w:type="dxa"/>
            <w:noWrap/>
            <w:vAlign w:val="center"/>
            <w:hideMark/>
          </w:tcPr>
          <w:p w14:paraId="0A4669DF"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b w:val="0"/>
                <w:bCs w:val="0"/>
                <w:color w:val="000000"/>
                <w:sz w:val="20"/>
                <w:szCs w:val="20"/>
              </w:rPr>
            </w:pPr>
            <w:r w:rsidRPr="003C13ED">
              <w:rPr>
                <w:rFonts w:ascii="Franklin Gothic Book" w:eastAsia="Times New Roman" w:hAnsi="Franklin Gothic Book" w:cs="Times New Roman"/>
                <w:color w:val="000000"/>
                <w:sz w:val="20"/>
                <w:szCs w:val="20"/>
              </w:rPr>
              <w:t>2016-</w:t>
            </w:r>
          </w:p>
          <w:p w14:paraId="4A5833F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2017</w:t>
            </w:r>
          </w:p>
        </w:tc>
        <w:tc>
          <w:tcPr>
            <w:tcW w:w="881" w:type="dxa"/>
            <w:vAlign w:val="center"/>
          </w:tcPr>
          <w:p w14:paraId="34CEDEDA"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2017-2018</w:t>
            </w:r>
          </w:p>
        </w:tc>
        <w:tc>
          <w:tcPr>
            <w:tcW w:w="881" w:type="dxa"/>
            <w:vAlign w:val="center"/>
          </w:tcPr>
          <w:p w14:paraId="7F4833A6"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2018-2019</w:t>
            </w:r>
          </w:p>
        </w:tc>
        <w:tc>
          <w:tcPr>
            <w:tcW w:w="881" w:type="dxa"/>
            <w:vAlign w:val="center"/>
          </w:tcPr>
          <w:p w14:paraId="0FF25B12"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2019-2020</w:t>
            </w:r>
          </w:p>
        </w:tc>
        <w:tc>
          <w:tcPr>
            <w:tcW w:w="881" w:type="dxa"/>
            <w:vAlign w:val="center"/>
          </w:tcPr>
          <w:p w14:paraId="5F9C8D71"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2020-2021</w:t>
            </w:r>
          </w:p>
        </w:tc>
        <w:tc>
          <w:tcPr>
            <w:tcW w:w="881" w:type="dxa"/>
            <w:vAlign w:val="center"/>
          </w:tcPr>
          <w:p w14:paraId="13EB01F8"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2021-2022</w:t>
            </w:r>
          </w:p>
        </w:tc>
        <w:tc>
          <w:tcPr>
            <w:tcW w:w="881" w:type="dxa"/>
            <w:vAlign w:val="center"/>
          </w:tcPr>
          <w:p w14:paraId="39B7395F"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2022-2023</w:t>
            </w:r>
          </w:p>
        </w:tc>
        <w:tc>
          <w:tcPr>
            <w:tcW w:w="881" w:type="dxa"/>
            <w:vAlign w:val="center"/>
          </w:tcPr>
          <w:p w14:paraId="4520C6C8"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2023-2024</w:t>
            </w:r>
          </w:p>
        </w:tc>
        <w:tc>
          <w:tcPr>
            <w:tcW w:w="881" w:type="dxa"/>
            <w:vAlign w:val="center"/>
          </w:tcPr>
          <w:p w14:paraId="1576B542"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2024-2025</w:t>
            </w:r>
            <w:r>
              <w:rPr>
                <w:rFonts w:ascii="Franklin Gothic Book" w:eastAsia="Times New Roman" w:hAnsi="Franklin Gothic Book" w:cs="Times New Roman"/>
                <w:color w:val="000000"/>
                <w:sz w:val="20"/>
                <w:szCs w:val="20"/>
              </w:rPr>
              <w:t>*</w:t>
            </w:r>
          </w:p>
        </w:tc>
      </w:tr>
      <w:tr w:rsidR="00BC7922" w:rsidRPr="003C13ED" w14:paraId="6192D70F" w14:textId="77777777" w:rsidTr="00C420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AE67FD"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Freshman</w:t>
            </w:r>
          </w:p>
        </w:tc>
        <w:tc>
          <w:tcPr>
            <w:tcW w:w="881" w:type="dxa"/>
            <w:noWrap/>
            <w:vAlign w:val="center"/>
            <w:hideMark/>
          </w:tcPr>
          <w:p w14:paraId="35D837A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270</w:t>
            </w:r>
          </w:p>
        </w:tc>
        <w:tc>
          <w:tcPr>
            <w:tcW w:w="881" w:type="dxa"/>
            <w:noWrap/>
            <w:vAlign w:val="center"/>
            <w:hideMark/>
          </w:tcPr>
          <w:p w14:paraId="42DC5E0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350</w:t>
            </w:r>
          </w:p>
        </w:tc>
        <w:tc>
          <w:tcPr>
            <w:tcW w:w="881" w:type="dxa"/>
            <w:vAlign w:val="center"/>
          </w:tcPr>
          <w:p w14:paraId="1B103A9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407</w:t>
            </w:r>
          </w:p>
        </w:tc>
        <w:tc>
          <w:tcPr>
            <w:tcW w:w="881" w:type="dxa"/>
            <w:vAlign w:val="center"/>
          </w:tcPr>
          <w:p w14:paraId="58A56D7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536</w:t>
            </w:r>
          </w:p>
        </w:tc>
        <w:tc>
          <w:tcPr>
            <w:tcW w:w="881" w:type="dxa"/>
            <w:vAlign w:val="center"/>
          </w:tcPr>
          <w:p w14:paraId="5D65D65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497</w:t>
            </w:r>
          </w:p>
        </w:tc>
        <w:tc>
          <w:tcPr>
            <w:tcW w:w="881" w:type="dxa"/>
            <w:vAlign w:val="center"/>
          </w:tcPr>
          <w:p w14:paraId="26DD569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412</w:t>
            </w:r>
          </w:p>
        </w:tc>
        <w:tc>
          <w:tcPr>
            <w:tcW w:w="881" w:type="dxa"/>
            <w:vAlign w:val="center"/>
          </w:tcPr>
          <w:p w14:paraId="1450EB6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686</w:t>
            </w:r>
          </w:p>
        </w:tc>
        <w:tc>
          <w:tcPr>
            <w:tcW w:w="881" w:type="dxa"/>
            <w:vAlign w:val="center"/>
          </w:tcPr>
          <w:p w14:paraId="7F62A50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735</w:t>
            </w:r>
          </w:p>
        </w:tc>
        <w:tc>
          <w:tcPr>
            <w:tcW w:w="881" w:type="dxa"/>
            <w:vAlign w:val="center"/>
          </w:tcPr>
          <w:p w14:paraId="0660FD1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815</w:t>
            </w:r>
          </w:p>
        </w:tc>
        <w:tc>
          <w:tcPr>
            <w:tcW w:w="881" w:type="dxa"/>
            <w:vAlign w:val="center"/>
          </w:tcPr>
          <w:p w14:paraId="51DB352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892</w:t>
            </w:r>
          </w:p>
        </w:tc>
      </w:tr>
      <w:tr w:rsidR="00BC7922" w:rsidRPr="003C13ED" w14:paraId="3E51D000" w14:textId="77777777" w:rsidTr="00C42096">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5135A3"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Sophomore</w:t>
            </w:r>
          </w:p>
        </w:tc>
        <w:tc>
          <w:tcPr>
            <w:tcW w:w="881" w:type="dxa"/>
            <w:noWrap/>
            <w:vAlign w:val="center"/>
            <w:hideMark/>
          </w:tcPr>
          <w:p w14:paraId="1B838A3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244</w:t>
            </w:r>
          </w:p>
        </w:tc>
        <w:tc>
          <w:tcPr>
            <w:tcW w:w="881" w:type="dxa"/>
            <w:noWrap/>
            <w:vAlign w:val="center"/>
            <w:hideMark/>
          </w:tcPr>
          <w:p w14:paraId="205AAF0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327</w:t>
            </w:r>
          </w:p>
        </w:tc>
        <w:tc>
          <w:tcPr>
            <w:tcW w:w="881" w:type="dxa"/>
            <w:vAlign w:val="center"/>
          </w:tcPr>
          <w:p w14:paraId="51F8B4B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443</w:t>
            </w:r>
          </w:p>
        </w:tc>
        <w:tc>
          <w:tcPr>
            <w:tcW w:w="881" w:type="dxa"/>
            <w:vAlign w:val="center"/>
          </w:tcPr>
          <w:p w14:paraId="4D38E9C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537</w:t>
            </w:r>
          </w:p>
        </w:tc>
        <w:tc>
          <w:tcPr>
            <w:tcW w:w="881" w:type="dxa"/>
            <w:vAlign w:val="center"/>
          </w:tcPr>
          <w:p w14:paraId="1B6C69D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688</w:t>
            </w:r>
          </w:p>
        </w:tc>
        <w:tc>
          <w:tcPr>
            <w:tcW w:w="881" w:type="dxa"/>
            <w:vAlign w:val="center"/>
          </w:tcPr>
          <w:p w14:paraId="2924C641"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526</w:t>
            </w:r>
          </w:p>
        </w:tc>
        <w:tc>
          <w:tcPr>
            <w:tcW w:w="881" w:type="dxa"/>
            <w:vAlign w:val="center"/>
          </w:tcPr>
          <w:p w14:paraId="02D6761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600</w:t>
            </w:r>
          </w:p>
        </w:tc>
        <w:tc>
          <w:tcPr>
            <w:tcW w:w="881" w:type="dxa"/>
            <w:vAlign w:val="center"/>
          </w:tcPr>
          <w:p w14:paraId="787D3F5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826</w:t>
            </w:r>
          </w:p>
        </w:tc>
        <w:tc>
          <w:tcPr>
            <w:tcW w:w="881" w:type="dxa"/>
            <w:vAlign w:val="center"/>
          </w:tcPr>
          <w:p w14:paraId="77F32D5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919</w:t>
            </w:r>
          </w:p>
        </w:tc>
        <w:tc>
          <w:tcPr>
            <w:tcW w:w="881" w:type="dxa"/>
            <w:vAlign w:val="center"/>
          </w:tcPr>
          <w:p w14:paraId="4720546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1077</w:t>
            </w:r>
          </w:p>
        </w:tc>
      </w:tr>
      <w:tr w:rsidR="00BC7922" w:rsidRPr="003C13ED" w14:paraId="011356A7" w14:textId="77777777" w:rsidTr="00C420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A563C5"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Junior</w:t>
            </w:r>
          </w:p>
        </w:tc>
        <w:tc>
          <w:tcPr>
            <w:tcW w:w="881" w:type="dxa"/>
            <w:noWrap/>
            <w:vAlign w:val="center"/>
            <w:hideMark/>
          </w:tcPr>
          <w:p w14:paraId="5AF1594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281</w:t>
            </w:r>
          </w:p>
        </w:tc>
        <w:tc>
          <w:tcPr>
            <w:tcW w:w="881" w:type="dxa"/>
            <w:noWrap/>
            <w:vAlign w:val="center"/>
            <w:hideMark/>
          </w:tcPr>
          <w:p w14:paraId="77F9E08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324</w:t>
            </w:r>
          </w:p>
        </w:tc>
        <w:tc>
          <w:tcPr>
            <w:tcW w:w="881" w:type="dxa"/>
            <w:vAlign w:val="center"/>
          </w:tcPr>
          <w:p w14:paraId="4827E46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433</w:t>
            </w:r>
          </w:p>
        </w:tc>
        <w:tc>
          <w:tcPr>
            <w:tcW w:w="881" w:type="dxa"/>
            <w:vAlign w:val="center"/>
          </w:tcPr>
          <w:p w14:paraId="3D71136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553</w:t>
            </w:r>
          </w:p>
        </w:tc>
        <w:tc>
          <w:tcPr>
            <w:tcW w:w="881" w:type="dxa"/>
            <w:vAlign w:val="center"/>
          </w:tcPr>
          <w:p w14:paraId="3602897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643</w:t>
            </w:r>
          </w:p>
        </w:tc>
        <w:tc>
          <w:tcPr>
            <w:tcW w:w="881" w:type="dxa"/>
            <w:vAlign w:val="center"/>
          </w:tcPr>
          <w:p w14:paraId="1A61ABA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708</w:t>
            </w:r>
          </w:p>
        </w:tc>
        <w:tc>
          <w:tcPr>
            <w:tcW w:w="881" w:type="dxa"/>
            <w:vAlign w:val="center"/>
          </w:tcPr>
          <w:p w14:paraId="3001CE7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667</w:t>
            </w:r>
          </w:p>
        </w:tc>
        <w:tc>
          <w:tcPr>
            <w:tcW w:w="881" w:type="dxa"/>
            <w:vAlign w:val="center"/>
          </w:tcPr>
          <w:p w14:paraId="505ADE6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730</w:t>
            </w:r>
          </w:p>
        </w:tc>
        <w:tc>
          <w:tcPr>
            <w:tcW w:w="881" w:type="dxa"/>
            <w:vAlign w:val="center"/>
          </w:tcPr>
          <w:p w14:paraId="49123B0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1023</w:t>
            </w:r>
          </w:p>
        </w:tc>
        <w:tc>
          <w:tcPr>
            <w:tcW w:w="881" w:type="dxa"/>
            <w:vAlign w:val="center"/>
          </w:tcPr>
          <w:p w14:paraId="5B705FA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1162</w:t>
            </w:r>
          </w:p>
        </w:tc>
      </w:tr>
      <w:tr w:rsidR="00BC7922" w:rsidRPr="003C13ED" w14:paraId="46A2A2B3" w14:textId="77777777" w:rsidTr="00C42096">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F0003C"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Senior</w:t>
            </w:r>
          </w:p>
        </w:tc>
        <w:tc>
          <w:tcPr>
            <w:tcW w:w="881" w:type="dxa"/>
            <w:noWrap/>
            <w:vAlign w:val="center"/>
            <w:hideMark/>
          </w:tcPr>
          <w:p w14:paraId="5B45E72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444</w:t>
            </w:r>
          </w:p>
        </w:tc>
        <w:tc>
          <w:tcPr>
            <w:tcW w:w="881" w:type="dxa"/>
            <w:noWrap/>
            <w:vAlign w:val="center"/>
            <w:hideMark/>
          </w:tcPr>
          <w:p w14:paraId="23C16A9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430</w:t>
            </w:r>
          </w:p>
        </w:tc>
        <w:tc>
          <w:tcPr>
            <w:tcW w:w="881" w:type="dxa"/>
            <w:vAlign w:val="center"/>
          </w:tcPr>
          <w:p w14:paraId="4E229E6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527</w:t>
            </w:r>
          </w:p>
        </w:tc>
        <w:tc>
          <w:tcPr>
            <w:tcW w:w="881" w:type="dxa"/>
            <w:vAlign w:val="center"/>
          </w:tcPr>
          <w:p w14:paraId="2124ED0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740</w:t>
            </w:r>
          </w:p>
        </w:tc>
        <w:tc>
          <w:tcPr>
            <w:tcW w:w="881" w:type="dxa"/>
            <w:vAlign w:val="center"/>
          </w:tcPr>
          <w:p w14:paraId="20A6042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901</w:t>
            </w:r>
          </w:p>
        </w:tc>
        <w:tc>
          <w:tcPr>
            <w:tcW w:w="881" w:type="dxa"/>
            <w:vAlign w:val="center"/>
          </w:tcPr>
          <w:p w14:paraId="1BFB1C0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998</w:t>
            </w:r>
          </w:p>
        </w:tc>
        <w:tc>
          <w:tcPr>
            <w:tcW w:w="881" w:type="dxa"/>
            <w:vAlign w:val="center"/>
          </w:tcPr>
          <w:p w14:paraId="0B6DE3D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1112</w:t>
            </w:r>
          </w:p>
        </w:tc>
        <w:tc>
          <w:tcPr>
            <w:tcW w:w="881" w:type="dxa"/>
            <w:vAlign w:val="center"/>
          </w:tcPr>
          <w:p w14:paraId="11C9D57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1124</w:t>
            </w:r>
          </w:p>
        </w:tc>
        <w:tc>
          <w:tcPr>
            <w:tcW w:w="881" w:type="dxa"/>
            <w:vAlign w:val="center"/>
          </w:tcPr>
          <w:p w14:paraId="0710135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1362</w:t>
            </w:r>
          </w:p>
        </w:tc>
        <w:tc>
          <w:tcPr>
            <w:tcW w:w="881" w:type="dxa"/>
            <w:vAlign w:val="center"/>
          </w:tcPr>
          <w:p w14:paraId="0EC214B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1731</w:t>
            </w:r>
          </w:p>
        </w:tc>
      </w:tr>
      <w:tr w:rsidR="00BC7922" w:rsidRPr="003C13ED" w14:paraId="4478F05C" w14:textId="77777777" w:rsidTr="00C420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489985"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Graduate</w:t>
            </w:r>
          </w:p>
        </w:tc>
        <w:tc>
          <w:tcPr>
            <w:tcW w:w="881" w:type="dxa"/>
            <w:noWrap/>
            <w:vAlign w:val="center"/>
            <w:hideMark/>
          </w:tcPr>
          <w:p w14:paraId="4436841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135</w:t>
            </w:r>
          </w:p>
        </w:tc>
        <w:tc>
          <w:tcPr>
            <w:tcW w:w="881" w:type="dxa"/>
            <w:noWrap/>
            <w:vAlign w:val="center"/>
            <w:hideMark/>
          </w:tcPr>
          <w:p w14:paraId="7A7755F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150</w:t>
            </w:r>
          </w:p>
        </w:tc>
        <w:tc>
          <w:tcPr>
            <w:tcW w:w="881" w:type="dxa"/>
            <w:vAlign w:val="center"/>
          </w:tcPr>
          <w:p w14:paraId="4F29506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160</w:t>
            </w:r>
          </w:p>
        </w:tc>
        <w:tc>
          <w:tcPr>
            <w:tcW w:w="881" w:type="dxa"/>
            <w:vAlign w:val="center"/>
          </w:tcPr>
          <w:p w14:paraId="7EFF36E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w:t>
            </w:r>
          </w:p>
        </w:tc>
        <w:tc>
          <w:tcPr>
            <w:tcW w:w="881" w:type="dxa"/>
            <w:vAlign w:val="center"/>
          </w:tcPr>
          <w:p w14:paraId="1FE9CC1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257</w:t>
            </w:r>
          </w:p>
        </w:tc>
        <w:tc>
          <w:tcPr>
            <w:tcW w:w="881" w:type="dxa"/>
            <w:vAlign w:val="center"/>
          </w:tcPr>
          <w:p w14:paraId="6747E44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298</w:t>
            </w:r>
          </w:p>
        </w:tc>
        <w:tc>
          <w:tcPr>
            <w:tcW w:w="881" w:type="dxa"/>
            <w:vAlign w:val="center"/>
          </w:tcPr>
          <w:p w14:paraId="4C0D41A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373</w:t>
            </w:r>
          </w:p>
        </w:tc>
        <w:tc>
          <w:tcPr>
            <w:tcW w:w="881" w:type="dxa"/>
            <w:vAlign w:val="center"/>
          </w:tcPr>
          <w:p w14:paraId="339D411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ahoma"/>
                <w:color w:val="000000"/>
                <w:sz w:val="18"/>
                <w:szCs w:val="18"/>
              </w:rPr>
              <w:t>372</w:t>
            </w:r>
          </w:p>
        </w:tc>
        <w:tc>
          <w:tcPr>
            <w:tcW w:w="881" w:type="dxa"/>
            <w:vAlign w:val="center"/>
          </w:tcPr>
          <w:p w14:paraId="32D6245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421</w:t>
            </w:r>
          </w:p>
        </w:tc>
        <w:tc>
          <w:tcPr>
            <w:tcW w:w="881" w:type="dxa"/>
            <w:vAlign w:val="center"/>
          </w:tcPr>
          <w:p w14:paraId="5C3DA89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Tahoma"/>
                <w:color w:val="000000"/>
                <w:sz w:val="18"/>
                <w:szCs w:val="18"/>
              </w:rPr>
            </w:pPr>
            <w:r w:rsidRPr="003C13ED">
              <w:rPr>
                <w:rFonts w:ascii="Franklin Gothic Book" w:eastAsia="Times New Roman" w:hAnsi="Franklin Gothic Book" w:cs="Tahoma"/>
                <w:color w:val="000000"/>
                <w:sz w:val="18"/>
                <w:szCs w:val="18"/>
              </w:rPr>
              <w:t>598</w:t>
            </w:r>
          </w:p>
        </w:tc>
      </w:tr>
      <w:tr w:rsidR="00BC7922" w:rsidRPr="003C13ED" w14:paraId="2705F14E" w14:textId="77777777" w:rsidTr="00C42096">
        <w:trPr>
          <w:trHeight w:val="25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A9D4E8" w14:textId="77777777" w:rsidR="00BC7922" w:rsidRPr="003C13ED" w:rsidRDefault="00BC7922" w:rsidP="00C42096">
            <w:pPr>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Professional</w:t>
            </w:r>
          </w:p>
        </w:tc>
        <w:tc>
          <w:tcPr>
            <w:tcW w:w="881" w:type="dxa"/>
            <w:noWrap/>
            <w:vAlign w:val="center"/>
            <w:hideMark/>
          </w:tcPr>
          <w:p w14:paraId="0459C02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30</w:t>
            </w:r>
          </w:p>
        </w:tc>
        <w:tc>
          <w:tcPr>
            <w:tcW w:w="881" w:type="dxa"/>
            <w:noWrap/>
            <w:vAlign w:val="center"/>
            <w:hideMark/>
          </w:tcPr>
          <w:p w14:paraId="022DFD1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35</w:t>
            </w:r>
          </w:p>
        </w:tc>
        <w:tc>
          <w:tcPr>
            <w:tcW w:w="881" w:type="dxa"/>
            <w:vAlign w:val="center"/>
          </w:tcPr>
          <w:p w14:paraId="3952985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50</w:t>
            </w:r>
          </w:p>
        </w:tc>
        <w:tc>
          <w:tcPr>
            <w:tcW w:w="881" w:type="dxa"/>
            <w:vAlign w:val="center"/>
          </w:tcPr>
          <w:p w14:paraId="30AC3F8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54</w:t>
            </w:r>
          </w:p>
        </w:tc>
        <w:tc>
          <w:tcPr>
            <w:tcW w:w="881" w:type="dxa"/>
            <w:vAlign w:val="center"/>
          </w:tcPr>
          <w:p w14:paraId="5B0D94F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59</w:t>
            </w:r>
          </w:p>
        </w:tc>
        <w:tc>
          <w:tcPr>
            <w:tcW w:w="881" w:type="dxa"/>
            <w:vAlign w:val="center"/>
          </w:tcPr>
          <w:p w14:paraId="3319157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74</w:t>
            </w:r>
          </w:p>
        </w:tc>
        <w:tc>
          <w:tcPr>
            <w:tcW w:w="881" w:type="dxa"/>
            <w:vAlign w:val="center"/>
          </w:tcPr>
          <w:p w14:paraId="645A07A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81</w:t>
            </w:r>
          </w:p>
        </w:tc>
        <w:tc>
          <w:tcPr>
            <w:tcW w:w="881" w:type="dxa"/>
            <w:vAlign w:val="center"/>
          </w:tcPr>
          <w:p w14:paraId="6CE4175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101</w:t>
            </w:r>
          </w:p>
        </w:tc>
        <w:tc>
          <w:tcPr>
            <w:tcW w:w="881" w:type="dxa"/>
            <w:vAlign w:val="center"/>
          </w:tcPr>
          <w:p w14:paraId="05611D2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117</w:t>
            </w:r>
          </w:p>
        </w:tc>
        <w:tc>
          <w:tcPr>
            <w:tcW w:w="881" w:type="dxa"/>
            <w:vAlign w:val="center"/>
          </w:tcPr>
          <w:p w14:paraId="79A76CC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139</w:t>
            </w:r>
          </w:p>
        </w:tc>
      </w:tr>
    </w:tbl>
    <w:p w14:paraId="2A07087E" w14:textId="77777777" w:rsidR="00BC7922" w:rsidRDefault="00BC7922" w:rsidP="00BC7922">
      <w:pPr>
        <w:pStyle w:val="Caption"/>
        <w:keepNext/>
        <w:jc w:val="right"/>
        <w:rPr>
          <w:rFonts w:ascii="Franklin Gothic Book" w:hAnsi="Franklin Gothic Book"/>
          <w:sz w:val="20"/>
          <w:szCs w:val="20"/>
        </w:rPr>
      </w:pPr>
      <w:r>
        <w:rPr>
          <w:rFonts w:ascii="Franklin Gothic Book" w:hAnsi="Franklin Gothic Book"/>
          <w:sz w:val="20"/>
          <w:szCs w:val="20"/>
        </w:rPr>
        <w:t xml:space="preserve">*15 </w:t>
      </w:r>
      <w:proofErr w:type="gramStart"/>
      <w:r>
        <w:rPr>
          <w:rFonts w:ascii="Franklin Gothic Book" w:hAnsi="Franklin Gothic Book"/>
          <w:sz w:val="20"/>
          <w:szCs w:val="20"/>
        </w:rPr>
        <w:t>Non-degree</w:t>
      </w:r>
      <w:proofErr w:type="gramEnd"/>
      <w:r>
        <w:rPr>
          <w:rFonts w:ascii="Franklin Gothic Book" w:hAnsi="Franklin Gothic Book"/>
          <w:sz w:val="20"/>
          <w:szCs w:val="20"/>
        </w:rPr>
        <w:t xml:space="preserve"> students</w:t>
      </w:r>
    </w:p>
    <w:p w14:paraId="677DCC7F" w14:textId="77777777" w:rsidR="00F62A69" w:rsidRDefault="00F62A69" w:rsidP="00F62A69">
      <w:pPr>
        <w:rPr>
          <w:rFonts w:ascii="Calibri" w:hAnsi="Calibri" w:cs="Calibri"/>
        </w:rPr>
      </w:pPr>
      <w:r w:rsidRPr="005416F6">
        <w:rPr>
          <w:rFonts w:ascii="Calibri" w:hAnsi="Calibri" w:cs="Calibri"/>
        </w:rPr>
        <w:t>While the absolute number of first-year registrations remains high, the percentage decreased slightly due to Purdue's largest incoming class on record. Historical data shows continued registration growth through students' second and third years, suggesting many students discover their need for accommodations as academic demands intensify.</w:t>
      </w:r>
    </w:p>
    <w:p w14:paraId="6ADD845D" w14:textId="573B6501" w:rsidR="00BC7922" w:rsidRPr="003C13ED" w:rsidRDefault="00BC7922" w:rsidP="00BC7922">
      <w:pPr>
        <w:pStyle w:val="Caption"/>
        <w:keepNext/>
        <w:jc w:val="center"/>
        <w:rPr>
          <w:rFonts w:ascii="Franklin Gothic Book" w:hAnsi="Franklin Gothic Book"/>
          <w:sz w:val="20"/>
          <w:szCs w:val="20"/>
        </w:rPr>
      </w:pPr>
      <w:r w:rsidRPr="003C13ED">
        <w:rPr>
          <w:rFonts w:ascii="Franklin Gothic Book" w:hAnsi="Franklin Gothic Book"/>
          <w:sz w:val="20"/>
          <w:szCs w:val="20"/>
        </w:rPr>
        <w:t>Table</w:t>
      </w:r>
      <w:r w:rsidRPr="003C13ED">
        <w:rPr>
          <w:rFonts w:ascii="Franklin Gothic Book" w:hAnsi="Franklin Gothic Book"/>
          <w:noProof/>
          <w:sz w:val="20"/>
          <w:szCs w:val="20"/>
        </w:rPr>
        <w:t xml:space="preserve"> </w:t>
      </w:r>
      <w:r>
        <w:rPr>
          <w:rFonts w:ascii="Franklin Gothic Book" w:hAnsi="Franklin Gothic Book"/>
          <w:noProof/>
          <w:sz w:val="20"/>
          <w:szCs w:val="20"/>
        </w:rPr>
        <w:t>6</w:t>
      </w:r>
      <w:r w:rsidRPr="003C13ED">
        <w:rPr>
          <w:rFonts w:ascii="Franklin Gothic Book" w:hAnsi="Franklin Gothic Book"/>
          <w:sz w:val="20"/>
          <w:szCs w:val="20"/>
        </w:rPr>
        <w:t>: College (Percent of Total College Population in Parentheses)</w:t>
      </w:r>
      <w:r>
        <w:rPr>
          <w:rFonts w:ascii="Franklin Gothic Book" w:hAnsi="Franklin Gothic Book"/>
          <w:sz w:val="20"/>
          <w:szCs w:val="20"/>
        </w:rPr>
        <w:t xml:space="preserve"> – Grad Excluded</w:t>
      </w:r>
    </w:p>
    <w:tbl>
      <w:tblPr>
        <w:tblStyle w:val="PlainTable1"/>
        <w:tblW w:w="0" w:type="auto"/>
        <w:tblLayout w:type="fixed"/>
        <w:tblLook w:val="04A0" w:firstRow="1" w:lastRow="0" w:firstColumn="1" w:lastColumn="0" w:noHBand="0" w:noVBand="1"/>
      </w:tblPr>
      <w:tblGrid>
        <w:gridCol w:w="915"/>
        <w:gridCol w:w="915"/>
        <w:gridCol w:w="916"/>
        <w:gridCol w:w="915"/>
        <w:gridCol w:w="916"/>
        <w:gridCol w:w="915"/>
        <w:gridCol w:w="916"/>
        <w:gridCol w:w="915"/>
        <w:gridCol w:w="916"/>
        <w:gridCol w:w="915"/>
        <w:gridCol w:w="916"/>
      </w:tblGrid>
      <w:tr w:rsidR="00BC7922" w:rsidRPr="003C13ED" w14:paraId="7EACD331" w14:textId="77777777" w:rsidTr="00C42096">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4F2BE5A3" w14:textId="77777777" w:rsidR="00BC7922" w:rsidRPr="003C13ED" w:rsidRDefault="00BC7922" w:rsidP="00C42096">
            <w:pPr>
              <w:rPr>
                <w:rFonts w:ascii="Franklin Gothic Book" w:eastAsia="Times New Roman" w:hAnsi="Franklin Gothic Book" w:cs="Calibri"/>
                <w:color w:val="000000"/>
                <w:sz w:val="20"/>
                <w:szCs w:val="20"/>
              </w:rPr>
            </w:pPr>
          </w:p>
        </w:tc>
        <w:tc>
          <w:tcPr>
            <w:tcW w:w="915" w:type="dxa"/>
            <w:noWrap/>
            <w:vAlign w:val="center"/>
            <w:hideMark/>
          </w:tcPr>
          <w:p w14:paraId="62156FCF"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b w:val="0"/>
                <w:bCs w:val="0"/>
                <w:color w:val="000000"/>
                <w:sz w:val="20"/>
                <w:szCs w:val="20"/>
              </w:rPr>
            </w:pPr>
            <w:r w:rsidRPr="003C13ED">
              <w:rPr>
                <w:rFonts w:ascii="Franklin Gothic Book" w:eastAsia="Times New Roman" w:hAnsi="Franklin Gothic Book" w:cs="Calibri"/>
                <w:color w:val="000000"/>
                <w:sz w:val="20"/>
                <w:szCs w:val="20"/>
              </w:rPr>
              <w:t>2015-</w:t>
            </w:r>
          </w:p>
          <w:p w14:paraId="6B6F50FB"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2016</w:t>
            </w:r>
          </w:p>
        </w:tc>
        <w:tc>
          <w:tcPr>
            <w:tcW w:w="916" w:type="dxa"/>
            <w:noWrap/>
            <w:vAlign w:val="center"/>
            <w:hideMark/>
          </w:tcPr>
          <w:p w14:paraId="2882A5E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b w:val="0"/>
                <w:bCs w:val="0"/>
                <w:color w:val="000000"/>
                <w:sz w:val="20"/>
                <w:szCs w:val="20"/>
              </w:rPr>
            </w:pPr>
            <w:r w:rsidRPr="003C13ED">
              <w:rPr>
                <w:rFonts w:ascii="Franklin Gothic Book" w:eastAsia="Times New Roman" w:hAnsi="Franklin Gothic Book" w:cs="Calibri"/>
                <w:color w:val="000000"/>
                <w:sz w:val="20"/>
                <w:szCs w:val="20"/>
              </w:rPr>
              <w:t>2016-</w:t>
            </w:r>
          </w:p>
          <w:p w14:paraId="37230DA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2017</w:t>
            </w:r>
          </w:p>
        </w:tc>
        <w:tc>
          <w:tcPr>
            <w:tcW w:w="915" w:type="dxa"/>
            <w:vAlign w:val="center"/>
            <w:hideMark/>
          </w:tcPr>
          <w:p w14:paraId="56CF4968"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2017-2018</w:t>
            </w:r>
          </w:p>
        </w:tc>
        <w:tc>
          <w:tcPr>
            <w:tcW w:w="916" w:type="dxa"/>
            <w:vAlign w:val="center"/>
            <w:hideMark/>
          </w:tcPr>
          <w:p w14:paraId="69400C2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2018-2019</w:t>
            </w:r>
          </w:p>
        </w:tc>
        <w:tc>
          <w:tcPr>
            <w:tcW w:w="915" w:type="dxa"/>
            <w:vAlign w:val="center"/>
            <w:hideMark/>
          </w:tcPr>
          <w:p w14:paraId="591EE0D3"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2019-2020</w:t>
            </w:r>
          </w:p>
        </w:tc>
        <w:tc>
          <w:tcPr>
            <w:tcW w:w="916" w:type="dxa"/>
            <w:vAlign w:val="center"/>
          </w:tcPr>
          <w:p w14:paraId="10A3E263"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2020-2021</w:t>
            </w:r>
          </w:p>
        </w:tc>
        <w:tc>
          <w:tcPr>
            <w:tcW w:w="915" w:type="dxa"/>
            <w:vAlign w:val="center"/>
          </w:tcPr>
          <w:p w14:paraId="7A309A5F"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Times New Roman"/>
                <w:color w:val="000000"/>
                <w:sz w:val="20"/>
                <w:szCs w:val="20"/>
              </w:rPr>
              <w:t>2021-2022</w:t>
            </w:r>
          </w:p>
        </w:tc>
        <w:tc>
          <w:tcPr>
            <w:tcW w:w="916" w:type="dxa"/>
            <w:vAlign w:val="center"/>
          </w:tcPr>
          <w:p w14:paraId="359F275F"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2022-2023</w:t>
            </w:r>
          </w:p>
        </w:tc>
        <w:tc>
          <w:tcPr>
            <w:tcW w:w="915" w:type="dxa"/>
            <w:vAlign w:val="center"/>
          </w:tcPr>
          <w:p w14:paraId="35B640E7"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2023-2024</w:t>
            </w:r>
          </w:p>
        </w:tc>
        <w:tc>
          <w:tcPr>
            <w:tcW w:w="916" w:type="dxa"/>
            <w:vAlign w:val="center"/>
          </w:tcPr>
          <w:p w14:paraId="2BE4AC25" w14:textId="77777777" w:rsidR="00BC7922" w:rsidRPr="003C13ED" w:rsidRDefault="00BC7922" w:rsidP="00C42096">
            <w:pPr>
              <w:jc w:val="center"/>
              <w:cnfStyle w:val="100000000000" w:firstRow="1" w:lastRow="0" w:firstColumn="0" w:lastColumn="0" w:oddVBand="0" w:evenVBand="0" w:oddHBand="0" w:evenHBand="0" w:firstRowFirstColumn="0" w:firstRowLastColumn="0" w:lastRowFirstColumn="0" w:lastRowLastColumn="0"/>
              <w:rPr>
                <w:rFonts w:ascii="Franklin Gothic Book" w:eastAsia="Times New Roman" w:hAnsi="Franklin Gothic Book" w:cs="Times New Roman"/>
                <w:color w:val="000000"/>
                <w:sz w:val="20"/>
                <w:szCs w:val="20"/>
              </w:rPr>
            </w:pPr>
            <w:r w:rsidRPr="003C13ED">
              <w:rPr>
                <w:rFonts w:ascii="Franklin Gothic Book" w:eastAsia="Times New Roman" w:hAnsi="Franklin Gothic Book" w:cs="Times New Roman"/>
                <w:color w:val="000000"/>
                <w:sz w:val="20"/>
                <w:szCs w:val="20"/>
              </w:rPr>
              <w:t>2024-</w:t>
            </w:r>
            <w:r w:rsidRPr="003C13ED">
              <w:rPr>
                <w:rFonts w:ascii="Franklin Gothic Book" w:eastAsia="Times New Roman" w:hAnsi="Franklin Gothic Book" w:cs="Times New Roman"/>
                <w:color w:val="000000"/>
                <w:sz w:val="20"/>
                <w:szCs w:val="20"/>
              </w:rPr>
              <w:br/>
              <w:t>2025</w:t>
            </w:r>
          </w:p>
        </w:tc>
      </w:tr>
      <w:tr w:rsidR="00BC7922" w:rsidRPr="003C13ED" w14:paraId="0E7A7233" w14:textId="77777777" w:rsidTr="00C42096">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472EF124"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CLA</w:t>
            </w:r>
          </w:p>
        </w:tc>
        <w:tc>
          <w:tcPr>
            <w:tcW w:w="915" w:type="dxa"/>
            <w:noWrap/>
            <w:vAlign w:val="center"/>
            <w:hideMark/>
          </w:tcPr>
          <w:p w14:paraId="6EE5D31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156 (5.1%)</w:t>
            </w:r>
          </w:p>
        </w:tc>
        <w:tc>
          <w:tcPr>
            <w:tcW w:w="916" w:type="dxa"/>
            <w:noWrap/>
            <w:vAlign w:val="center"/>
            <w:hideMark/>
          </w:tcPr>
          <w:p w14:paraId="01E0BBA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157 (5.5%)</w:t>
            </w:r>
          </w:p>
        </w:tc>
        <w:tc>
          <w:tcPr>
            <w:tcW w:w="915" w:type="dxa"/>
            <w:vAlign w:val="center"/>
            <w:hideMark/>
          </w:tcPr>
          <w:p w14:paraId="258ADD0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197 (6.8%)</w:t>
            </w:r>
          </w:p>
        </w:tc>
        <w:tc>
          <w:tcPr>
            <w:tcW w:w="916" w:type="dxa"/>
            <w:vAlign w:val="center"/>
            <w:hideMark/>
          </w:tcPr>
          <w:p w14:paraId="5B4EA26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255 (8.8%)</w:t>
            </w:r>
          </w:p>
        </w:tc>
        <w:tc>
          <w:tcPr>
            <w:tcW w:w="915" w:type="dxa"/>
            <w:vAlign w:val="center"/>
            <w:hideMark/>
          </w:tcPr>
          <w:p w14:paraId="72B904C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277 (10.7%)</w:t>
            </w:r>
          </w:p>
        </w:tc>
        <w:tc>
          <w:tcPr>
            <w:tcW w:w="916" w:type="dxa"/>
            <w:vAlign w:val="center"/>
          </w:tcPr>
          <w:p w14:paraId="3EF8814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259 (9.0%)</w:t>
            </w:r>
          </w:p>
        </w:tc>
        <w:tc>
          <w:tcPr>
            <w:tcW w:w="915" w:type="dxa"/>
            <w:vAlign w:val="center"/>
          </w:tcPr>
          <w:p w14:paraId="5E849C4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274 (10.4%)</w:t>
            </w:r>
          </w:p>
        </w:tc>
        <w:tc>
          <w:tcPr>
            <w:tcW w:w="916" w:type="dxa"/>
            <w:vAlign w:val="center"/>
          </w:tcPr>
          <w:p w14:paraId="206BD93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318 (11.6%)</w:t>
            </w:r>
          </w:p>
        </w:tc>
        <w:tc>
          <w:tcPr>
            <w:tcW w:w="915" w:type="dxa"/>
            <w:vAlign w:val="center"/>
          </w:tcPr>
          <w:p w14:paraId="6479A84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368 (13.7%)</w:t>
            </w:r>
          </w:p>
        </w:tc>
        <w:tc>
          <w:tcPr>
            <w:tcW w:w="916" w:type="dxa"/>
            <w:vAlign w:val="center"/>
          </w:tcPr>
          <w:p w14:paraId="2A3A026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386</w:t>
            </w:r>
            <w:r w:rsidRPr="003C13ED">
              <w:rPr>
                <w:rFonts w:ascii="Franklin Gothic Book" w:eastAsia="Times New Roman" w:hAnsi="Franklin Gothic Book" w:cs="Calibri"/>
                <w:color w:val="000000"/>
                <w:sz w:val="20"/>
                <w:szCs w:val="20"/>
              </w:rPr>
              <w:br/>
              <w:t>(14.5%)</w:t>
            </w:r>
          </w:p>
        </w:tc>
      </w:tr>
      <w:tr w:rsidR="00BC7922" w:rsidRPr="003C13ED" w14:paraId="0F52E8C1" w14:textId="77777777" w:rsidTr="00C42096">
        <w:trPr>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0A7BC707"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AG</w:t>
            </w:r>
          </w:p>
        </w:tc>
        <w:tc>
          <w:tcPr>
            <w:tcW w:w="915" w:type="dxa"/>
            <w:noWrap/>
            <w:vAlign w:val="center"/>
            <w:hideMark/>
          </w:tcPr>
          <w:p w14:paraId="498F095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105 (3.7%)</w:t>
            </w:r>
          </w:p>
        </w:tc>
        <w:tc>
          <w:tcPr>
            <w:tcW w:w="916" w:type="dxa"/>
            <w:noWrap/>
            <w:vAlign w:val="center"/>
            <w:hideMark/>
          </w:tcPr>
          <w:p w14:paraId="0F67535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127 (4.4%)</w:t>
            </w:r>
          </w:p>
        </w:tc>
        <w:tc>
          <w:tcPr>
            <w:tcW w:w="915" w:type="dxa"/>
            <w:vAlign w:val="center"/>
            <w:hideMark/>
          </w:tcPr>
          <w:p w14:paraId="09F4CB3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145 (4.9%)</w:t>
            </w:r>
          </w:p>
        </w:tc>
        <w:tc>
          <w:tcPr>
            <w:tcW w:w="916" w:type="dxa"/>
            <w:vAlign w:val="center"/>
            <w:hideMark/>
          </w:tcPr>
          <w:p w14:paraId="0F24763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204 (6.8%)</w:t>
            </w:r>
          </w:p>
        </w:tc>
        <w:tc>
          <w:tcPr>
            <w:tcW w:w="915" w:type="dxa"/>
            <w:vAlign w:val="center"/>
            <w:hideMark/>
          </w:tcPr>
          <w:p w14:paraId="04D8CEA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264 (9.3%)</w:t>
            </w:r>
          </w:p>
        </w:tc>
        <w:tc>
          <w:tcPr>
            <w:tcW w:w="916" w:type="dxa"/>
            <w:vAlign w:val="center"/>
          </w:tcPr>
          <w:p w14:paraId="0C7D14B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237 (8.1%)</w:t>
            </w:r>
          </w:p>
        </w:tc>
        <w:tc>
          <w:tcPr>
            <w:tcW w:w="915" w:type="dxa"/>
            <w:vAlign w:val="center"/>
          </w:tcPr>
          <w:p w14:paraId="358FA85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265 (9.3%)</w:t>
            </w:r>
          </w:p>
        </w:tc>
        <w:tc>
          <w:tcPr>
            <w:tcW w:w="916" w:type="dxa"/>
            <w:vAlign w:val="center"/>
          </w:tcPr>
          <w:p w14:paraId="6339C38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313 (10.5%)</w:t>
            </w:r>
          </w:p>
        </w:tc>
        <w:tc>
          <w:tcPr>
            <w:tcW w:w="915" w:type="dxa"/>
            <w:vAlign w:val="center"/>
          </w:tcPr>
          <w:p w14:paraId="3A0E2B0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373 (12.7%)</w:t>
            </w:r>
          </w:p>
        </w:tc>
        <w:tc>
          <w:tcPr>
            <w:tcW w:w="916" w:type="dxa"/>
            <w:vAlign w:val="center"/>
          </w:tcPr>
          <w:p w14:paraId="4C951BA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410</w:t>
            </w:r>
            <w:r w:rsidRPr="003C13ED">
              <w:rPr>
                <w:rFonts w:ascii="Franklin Gothic Book" w:eastAsia="Times New Roman" w:hAnsi="Franklin Gothic Book" w:cs="Calibri"/>
                <w:color w:val="000000"/>
                <w:sz w:val="20"/>
                <w:szCs w:val="20"/>
              </w:rPr>
              <w:br/>
              <w:t>(13.4%)</w:t>
            </w:r>
          </w:p>
        </w:tc>
      </w:tr>
      <w:tr w:rsidR="00BC7922" w:rsidRPr="003C13ED" w14:paraId="6D62AD80" w14:textId="77777777" w:rsidTr="00C4209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7AB7FD17"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HHS</w:t>
            </w:r>
          </w:p>
        </w:tc>
        <w:tc>
          <w:tcPr>
            <w:tcW w:w="915" w:type="dxa"/>
            <w:noWrap/>
            <w:vAlign w:val="center"/>
            <w:hideMark/>
          </w:tcPr>
          <w:p w14:paraId="7F75586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157 (3.6%)</w:t>
            </w:r>
          </w:p>
        </w:tc>
        <w:tc>
          <w:tcPr>
            <w:tcW w:w="916" w:type="dxa"/>
            <w:noWrap/>
            <w:vAlign w:val="center"/>
            <w:hideMark/>
          </w:tcPr>
          <w:p w14:paraId="53CD942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192 (4.5%)</w:t>
            </w:r>
          </w:p>
        </w:tc>
        <w:tc>
          <w:tcPr>
            <w:tcW w:w="915" w:type="dxa"/>
            <w:vAlign w:val="center"/>
            <w:hideMark/>
          </w:tcPr>
          <w:p w14:paraId="10B883B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260 (5.8%)</w:t>
            </w:r>
          </w:p>
        </w:tc>
        <w:tc>
          <w:tcPr>
            <w:tcW w:w="916" w:type="dxa"/>
            <w:vAlign w:val="center"/>
            <w:hideMark/>
          </w:tcPr>
          <w:p w14:paraId="11A0DEA4"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350 (7.2%)</w:t>
            </w:r>
          </w:p>
        </w:tc>
        <w:tc>
          <w:tcPr>
            <w:tcW w:w="915" w:type="dxa"/>
            <w:vAlign w:val="center"/>
            <w:hideMark/>
          </w:tcPr>
          <w:p w14:paraId="6389FC0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428 (9.3%)</w:t>
            </w:r>
          </w:p>
        </w:tc>
        <w:tc>
          <w:tcPr>
            <w:tcW w:w="916" w:type="dxa"/>
            <w:vAlign w:val="center"/>
          </w:tcPr>
          <w:p w14:paraId="3F96E9E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486 (9.2%)</w:t>
            </w:r>
          </w:p>
        </w:tc>
        <w:tc>
          <w:tcPr>
            <w:tcW w:w="915" w:type="dxa"/>
            <w:vAlign w:val="center"/>
          </w:tcPr>
          <w:p w14:paraId="1B97BD0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503 (9.9%)</w:t>
            </w:r>
          </w:p>
        </w:tc>
        <w:tc>
          <w:tcPr>
            <w:tcW w:w="916" w:type="dxa"/>
            <w:vAlign w:val="center"/>
          </w:tcPr>
          <w:p w14:paraId="273A756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560 (10.6%)</w:t>
            </w:r>
          </w:p>
        </w:tc>
        <w:tc>
          <w:tcPr>
            <w:tcW w:w="915" w:type="dxa"/>
            <w:vAlign w:val="center"/>
          </w:tcPr>
          <w:p w14:paraId="08B7BAE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658 (12.7%)</w:t>
            </w:r>
          </w:p>
        </w:tc>
        <w:tc>
          <w:tcPr>
            <w:tcW w:w="916" w:type="dxa"/>
            <w:vAlign w:val="center"/>
          </w:tcPr>
          <w:p w14:paraId="0B8AF84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706</w:t>
            </w:r>
            <w:r w:rsidRPr="003C13ED">
              <w:rPr>
                <w:rFonts w:ascii="Franklin Gothic Book" w:eastAsia="Times New Roman" w:hAnsi="Franklin Gothic Book" w:cs="Calibri"/>
                <w:color w:val="000000"/>
                <w:sz w:val="20"/>
                <w:szCs w:val="20"/>
              </w:rPr>
              <w:br/>
              <w:t>(13.6%)</w:t>
            </w:r>
          </w:p>
        </w:tc>
      </w:tr>
      <w:tr w:rsidR="00BC7922" w:rsidRPr="003C13ED" w14:paraId="4BB06469" w14:textId="77777777" w:rsidTr="00C42096">
        <w:trPr>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7DA70A2C"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lastRenderedPageBreak/>
              <w:t>EXPL</w:t>
            </w:r>
          </w:p>
        </w:tc>
        <w:tc>
          <w:tcPr>
            <w:tcW w:w="915" w:type="dxa"/>
            <w:noWrap/>
            <w:vAlign w:val="center"/>
            <w:hideMark/>
          </w:tcPr>
          <w:p w14:paraId="0C3E31C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60 (4.5%)</w:t>
            </w:r>
          </w:p>
        </w:tc>
        <w:tc>
          <w:tcPr>
            <w:tcW w:w="916" w:type="dxa"/>
            <w:noWrap/>
            <w:vAlign w:val="center"/>
            <w:hideMark/>
          </w:tcPr>
          <w:p w14:paraId="490923A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 (5.7%)</w:t>
            </w:r>
          </w:p>
        </w:tc>
        <w:tc>
          <w:tcPr>
            <w:tcW w:w="915" w:type="dxa"/>
            <w:vAlign w:val="center"/>
            <w:hideMark/>
          </w:tcPr>
          <w:p w14:paraId="7EAA38AD"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101 (7.3%)</w:t>
            </w:r>
          </w:p>
        </w:tc>
        <w:tc>
          <w:tcPr>
            <w:tcW w:w="916" w:type="dxa"/>
            <w:vAlign w:val="center"/>
            <w:hideMark/>
          </w:tcPr>
          <w:p w14:paraId="634D31B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120 (7.8%)</w:t>
            </w:r>
          </w:p>
        </w:tc>
        <w:tc>
          <w:tcPr>
            <w:tcW w:w="915" w:type="dxa"/>
            <w:vAlign w:val="center"/>
            <w:hideMark/>
          </w:tcPr>
          <w:p w14:paraId="237936D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109 (8.6%)</w:t>
            </w:r>
          </w:p>
        </w:tc>
        <w:tc>
          <w:tcPr>
            <w:tcW w:w="916" w:type="dxa"/>
            <w:vAlign w:val="center"/>
          </w:tcPr>
          <w:p w14:paraId="7C39852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93 (5.9%)</w:t>
            </w:r>
          </w:p>
        </w:tc>
        <w:tc>
          <w:tcPr>
            <w:tcW w:w="915" w:type="dxa"/>
            <w:vAlign w:val="center"/>
          </w:tcPr>
          <w:p w14:paraId="45B6526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134 (7.8%)</w:t>
            </w:r>
          </w:p>
        </w:tc>
        <w:tc>
          <w:tcPr>
            <w:tcW w:w="916" w:type="dxa"/>
            <w:vAlign w:val="center"/>
          </w:tcPr>
          <w:p w14:paraId="7E852C6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128 (9.3%)</w:t>
            </w:r>
          </w:p>
        </w:tc>
        <w:tc>
          <w:tcPr>
            <w:tcW w:w="915" w:type="dxa"/>
            <w:vAlign w:val="center"/>
          </w:tcPr>
          <w:p w14:paraId="5604B76B"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142 (10.9%)</w:t>
            </w:r>
          </w:p>
        </w:tc>
        <w:tc>
          <w:tcPr>
            <w:tcW w:w="916" w:type="dxa"/>
            <w:vAlign w:val="center"/>
          </w:tcPr>
          <w:p w14:paraId="0DFD5B9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163</w:t>
            </w:r>
            <w:r w:rsidRPr="003C13ED">
              <w:rPr>
                <w:rFonts w:ascii="Franklin Gothic Book" w:eastAsia="Times New Roman" w:hAnsi="Franklin Gothic Book" w:cs="Calibri"/>
                <w:color w:val="000000"/>
                <w:sz w:val="20"/>
                <w:szCs w:val="20"/>
              </w:rPr>
              <w:br/>
              <w:t>(14.2%)</w:t>
            </w:r>
          </w:p>
        </w:tc>
      </w:tr>
      <w:tr w:rsidR="00BC7922" w:rsidRPr="003C13ED" w14:paraId="23A8AC37" w14:textId="77777777" w:rsidTr="00C4209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4908E9D5"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ED</w:t>
            </w:r>
          </w:p>
        </w:tc>
        <w:tc>
          <w:tcPr>
            <w:tcW w:w="915" w:type="dxa"/>
            <w:noWrap/>
            <w:vAlign w:val="center"/>
            <w:hideMark/>
          </w:tcPr>
          <w:p w14:paraId="75FF7A7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29 (5.0%)</w:t>
            </w:r>
          </w:p>
        </w:tc>
        <w:tc>
          <w:tcPr>
            <w:tcW w:w="916" w:type="dxa"/>
            <w:noWrap/>
            <w:vAlign w:val="center"/>
            <w:hideMark/>
          </w:tcPr>
          <w:p w14:paraId="650A7BF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23 (3.8%)</w:t>
            </w:r>
          </w:p>
        </w:tc>
        <w:tc>
          <w:tcPr>
            <w:tcW w:w="915" w:type="dxa"/>
            <w:vAlign w:val="center"/>
            <w:hideMark/>
          </w:tcPr>
          <w:p w14:paraId="5E420D3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27 (4.4%)</w:t>
            </w:r>
          </w:p>
        </w:tc>
        <w:tc>
          <w:tcPr>
            <w:tcW w:w="916" w:type="dxa"/>
            <w:vAlign w:val="center"/>
            <w:hideMark/>
          </w:tcPr>
          <w:p w14:paraId="2700EA9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43 (6.4%)</w:t>
            </w:r>
          </w:p>
        </w:tc>
        <w:tc>
          <w:tcPr>
            <w:tcW w:w="915" w:type="dxa"/>
            <w:vAlign w:val="center"/>
            <w:hideMark/>
          </w:tcPr>
          <w:p w14:paraId="6933876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50 (8.1%)</w:t>
            </w:r>
          </w:p>
        </w:tc>
        <w:tc>
          <w:tcPr>
            <w:tcW w:w="916" w:type="dxa"/>
            <w:vAlign w:val="center"/>
          </w:tcPr>
          <w:p w14:paraId="78DD71B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50 (7.8%)</w:t>
            </w:r>
          </w:p>
        </w:tc>
        <w:tc>
          <w:tcPr>
            <w:tcW w:w="915" w:type="dxa"/>
            <w:vAlign w:val="center"/>
          </w:tcPr>
          <w:p w14:paraId="6261A099"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57 (8.8%)</w:t>
            </w:r>
          </w:p>
        </w:tc>
        <w:tc>
          <w:tcPr>
            <w:tcW w:w="916" w:type="dxa"/>
            <w:vAlign w:val="center"/>
          </w:tcPr>
          <w:p w14:paraId="565B034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71 (11.0%)</w:t>
            </w:r>
          </w:p>
        </w:tc>
        <w:tc>
          <w:tcPr>
            <w:tcW w:w="915" w:type="dxa"/>
            <w:vAlign w:val="center"/>
          </w:tcPr>
          <w:p w14:paraId="7C9A3BC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 (13.1%)</w:t>
            </w:r>
          </w:p>
        </w:tc>
        <w:tc>
          <w:tcPr>
            <w:tcW w:w="916" w:type="dxa"/>
            <w:vAlign w:val="center"/>
          </w:tcPr>
          <w:p w14:paraId="43F4DBF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85</w:t>
            </w:r>
            <w:r w:rsidRPr="003C13ED">
              <w:rPr>
                <w:rFonts w:ascii="Franklin Gothic Book" w:eastAsia="Times New Roman" w:hAnsi="Franklin Gothic Book" w:cs="Calibri"/>
                <w:color w:val="000000"/>
                <w:sz w:val="20"/>
                <w:szCs w:val="20"/>
              </w:rPr>
              <w:br/>
              <w:t>(14.4%)</w:t>
            </w:r>
          </w:p>
        </w:tc>
      </w:tr>
      <w:tr w:rsidR="00BC7922" w:rsidRPr="003C13ED" w14:paraId="6324B152" w14:textId="77777777" w:rsidTr="00C42096">
        <w:trPr>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18E38702"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POLY</w:t>
            </w:r>
          </w:p>
        </w:tc>
        <w:tc>
          <w:tcPr>
            <w:tcW w:w="915" w:type="dxa"/>
            <w:noWrap/>
            <w:vAlign w:val="center"/>
            <w:hideMark/>
          </w:tcPr>
          <w:p w14:paraId="6BBF271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170 (4.7%)</w:t>
            </w:r>
          </w:p>
        </w:tc>
        <w:tc>
          <w:tcPr>
            <w:tcW w:w="916" w:type="dxa"/>
            <w:noWrap/>
            <w:vAlign w:val="center"/>
            <w:hideMark/>
          </w:tcPr>
          <w:p w14:paraId="1F4AEB7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196 (5.1%)</w:t>
            </w:r>
          </w:p>
        </w:tc>
        <w:tc>
          <w:tcPr>
            <w:tcW w:w="915" w:type="dxa"/>
            <w:vAlign w:val="center"/>
            <w:hideMark/>
          </w:tcPr>
          <w:p w14:paraId="18379C2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225 (5.5%)</w:t>
            </w:r>
          </w:p>
        </w:tc>
        <w:tc>
          <w:tcPr>
            <w:tcW w:w="916" w:type="dxa"/>
            <w:vAlign w:val="center"/>
            <w:hideMark/>
          </w:tcPr>
          <w:p w14:paraId="286F5EC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277 (6.3%)</w:t>
            </w:r>
          </w:p>
        </w:tc>
        <w:tc>
          <w:tcPr>
            <w:tcW w:w="915" w:type="dxa"/>
            <w:vAlign w:val="center"/>
            <w:hideMark/>
          </w:tcPr>
          <w:p w14:paraId="5394293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320 (7.7%)</w:t>
            </w:r>
          </w:p>
        </w:tc>
        <w:tc>
          <w:tcPr>
            <w:tcW w:w="916" w:type="dxa"/>
            <w:vAlign w:val="center"/>
          </w:tcPr>
          <w:p w14:paraId="75FD5DBE"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340 (7.1%)</w:t>
            </w:r>
          </w:p>
        </w:tc>
        <w:tc>
          <w:tcPr>
            <w:tcW w:w="915" w:type="dxa"/>
            <w:vAlign w:val="center"/>
          </w:tcPr>
          <w:p w14:paraId="1402488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346 (7.6%)</w:t>
            </w:r>
          </w:p>
        </w:tc>
        <w:tc>
          <w:tcPr>
            <w:tcW w:w="916" w:type="dxa"/>
            <w:vAlign w:val="center"/>
          </w:tcPr>
          <w:p w14:paraId="36A4F1F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746 (4.4%)</w:t>
            </w:r>
          </w:p>
        </w:tc>
        <w:tc>
          <w:tcPr>
            <w:tcW w:w="915" w:type="dxa"/>
            <w:vAlign w:val="center"/>
          </w:tcPr>
          <w:p w14:paraId="70E2FD1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453 (9.1%)</w:t>
            </w:r>
          </w:p>
        </w:tc>
        <w:tc>
          <w:tcPr>
            <w:tcW w:w="916" w:type="dxa"/>
            <w:vAlign w:val="center"/>
          </w:tcPr>
          <w:p w14:paraId="4F1491A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593</w:t>
            </w:r>
            <w:r w:rsidRPr="003C13ED">
              <w:rPr>
                <w:rFonts w:ascii="Franklin Gothic Book" w:eastAsia="Times New Roman" w:hAnsi="Franklin Gothic Book" w:cs="Calibri"/>
                <w:color w:val="000000"/>
                <w:sz w:val="20"/>
                <w:szCs w:val="20"/>
              </w:rPr>
              <w:br/>
              <w:t>(10.0%)</w:t>
            </w:r>
          </w:p>
        </w:tc>
      </w:tr>
      <w:tr w:rsidR="00BC7922" w:rsidRPr="003C13ED" w14:paraId="3A22A8DE" w14:textId="77777777" w:rsidTr="00C4209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11B38815"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SCI</w:t>
            </w:r>
          </w:p>
        </w:tc>
        <w:tc>
          <w:tcPr>
            <w:tcW w:w="915" w:type="dxa"/>
            <w:noWrap/>
            <w:vAlign w:val="center"/>
            <w:hideMark/>
          </w:tcPr>
          <w:p w14:paraId="2F7859A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136 (3.6%)</w:t>
            </w:r>
          </w:p>
        </w:tc>
        <w:tc>
          <w:tcPr>
            <w:tcW w:w="916" w:type="dxa"/>
            <w:noWrap/>
            <w:vAlign w:val="center"/>
            <w:hideMark/>
          </w:tcPr>
          <w:p w14:paraId="3715501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148 (3.9%)</w:t>
            </w:r>
          </w:p>
        </w:tc>
        <w:tc>
          <w:tcPr>
            <w:tcW w:w="915" w:type="dxa"/>
            <w:vAlign w:val="center"/>
            <w:hideMark/>
          </w:tcPr>
          <w:p w14:paraId="47AD463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223 (5.3%)</w:t>
            </w:r>
          </w:p>
        </w:tc>
        <w:tc>
          <w:tcPr>
            <w:tcW w:w="916" w:type="dxa"/>
            <w:vAlign w:val="center"/>
            <w:hideMark/>
          </w:tcPr>
          <w:p w14:paraId="5D6B5BA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292 (6.4%)</w:t>
            </w:r>
          </w:p>
        </w:tc>
        <w:tc>
          <w:tcPr>
            <w:tcW w:w="915" w:type="dxa"/>
            <w:vAlign w:val="center"/>
            <w:hideMark/>
          </w:tcPr>
          <w:p w14:paraId="7AA743C5"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352 (7.7%)</w:t>
            </w:r>
          </w:p>
        </w:tc>
        <w:tc>
          <w:tcPr>
            <w:tcW w:w="916" w:type="dxa"/>
            <w:vAlign w:val="center"/>
          </w:tcPr>
          <w:p w14:paraId="7DDFC84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349 (6.8%)</w:t>
            </w:r>
          </w:p>
        </w:tc>
        <w:tc>
          <w:tcPr>
            <w:tcW w:w="915" w:type="dxa"/>
            <w:vAlign w:val="center"/>
          </w:tcPr>
          <w:p w14:paraId="0D1486B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391 (7.4%)</w:t>
            </w:r>
          </w:p>
        </w:tc>
        <w:tc>
          <w:tcPr>
            <w:tcW w:w="916" w:type="dxa"/>
            <w:vAlign w:val="center"/>
          </w:tcPr>
          <w:p w14:paraId="67802836"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454 (7.8%)</w:t>
            </w:r>
          </w:p>
        </w:tc>
        <w:tc>
          <w:tcPr>
            <w:tcW w:w="915" w:type="dxa"/>
            <w:vAlign w:val="center"/>
          </w:tcPr>
          <w:p w14:paraId="3A939FBF"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534 (8.8%)</w:t>
            </w:r>
          </w:p>
        </w:tc>
        <w:tc>
          <w:tcPr>
            <w:tcW w:w="916" w:type="dxa"/>
            <w:vAlign w:val="center"/>
          </w:tcPr>
          <w:p w14:paraId="4C642D1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597</w:t>
            </w:r>
            <w:r w:rsidRPr="003C13ED">
              <w:rPr>
                <w:rFonts w:ascii="Franklin Gothic Book" w:eastAsia="Times New Roman" w:hAnsi="Franklin Gothic Book" w:cs="Calibri"/>
                <w:color w:val="000000"/>
                <w:sz w:val="20"/>
                <w:szCs w:val="20"/>
              </w:rPr>
              <w:br/>
              <w:t>(8.7%)</w:t>
            </w:r>
          </w:p>
        </w:tc>
      </w:tr>
      <w:tr w:rsidR="00BC7922" w:rsidRPr="003C13ED" w14:paraId="66588D8A" w14:textId="77777777" w:rsidTr="00C42096">
        <w:trPr>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5EB51A7F"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ENGR</w:t>
            </w:r>
          </w:p>
        </w:tc>
        <w:tc>
          <w:tcPr>
            <w:tcW w:w="915" w:type="dxa"/>
            <w:noWrap/>
            <w:vAlign w:val="center"/>
            <w:hideMark/>
          </w:tcPr>
          <w:p w14:paraId="64C66FC6"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314 (3.8%)</w:t>
            </w:r>
          </w:p>
        </w:tc>
        <w:tc>
          <w:tcPr>
            <w:tcW w:w="916" w:type="dxa"/>
            <w:noWrap/>
            <w:vAlign w:val="center"/>
            <w:hideMark/>
          </w:tcPr>
          <w:p w14:paraId="2BBADF8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396 (4.5%)</w:t>
            </w:r>
          </w:p>
        </w:tc>
        <w:tc>
          <w:tcPr>
            <w:tcW w:w="915" w:type="dxa"/>
            <w:vAlign w:val="center"/>
            <w:hideMark/>
          </w:tcPr>
          <w:p w14:paraId="3B1D8399"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489 (5.4%)</w:t>
            </w:r>
          </w:p>
        </w:tc>
        <w:tc>
          <w:tcPr>
            <w:tcW w:w="916" w:type="dxa"/>
            <w:vAlign w:val="center"/>
            <w:hideMark/>
          </w:tcPr>
          <w:p w14:paraId="764E6AB5"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629 (6.6%)</w:t>
            </w:r>
          </w:p>
        </w:tc>
        <w:tc>
          <w:tcPr>
            <w:tcW w:w="915" w:type="dxa"/>
            <w:vAlign w:val="center"/>
            <w:hideMark/>
          </w:tcPr>
          <w:p w14:paraId="396091B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698 (7.4%)</w:t>
            </w:r>
          </w:p>
        </w:tc>
        <w:tc>
          <w:tcPr>
            <w:tcW w:w="916" w:type="dxa"/>
            <w:vAlign w:val="center"/>
          </w:tcPr>
          <w:p w14:paraId="48C241E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713 (6.9%)</w:t>
            </w:r>
          </w:p>
        </w:tc>
        <w:tc>
          <w:tcPr>
            <w:tcW w:w="915" w:type="dxa"/>
            <w:vAlign w:val="center"/>
          </w:tcPr>
          <w:p w14:paraId="5F6694B4"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843 (7.7%)</w:t>
            </w:r>
          </w:p>
        </w:tc>
        <w:tc>
          <w:tcPr>
            <w:tcW w:w="916" w:type="dxa"/>
            <w:vAlign w:val="center"/>
          </w:tcPr>
          <w:p w14:paraId="7D63A52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993 (8.7%)</w:t>
            </w:r>
          </w:p>
        </w:tc>
        <w:tc>
          <w:tcPr>
            <w:tcW w:w="915" w:type="dxa"/>
            <w:vAlign w:val="center"/>
          </w:tcPr>
          <w:p w14:paraId="72C42C0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1117 (10.1%)</w:t>
            </w:r>
          </w:p>
        </w:tc>
        <w:tc>
          <w:tcPr>
            <w:tcW w:w="916" w:type="dxa"/>
            <w:vAlign w:val="center"/>
          </w:tcPr>
          <w:p w14:paraId="6ADAC8DC"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1417</w:t>
            </w:r>
            <w:r w:rsidRPr="003C13ED">
              <w:rPr>
                <w:rFonts w:ascii="Franklin Gothic Book" w:eastAsia="Times New Roman" w:hAnsi="Franklin Gothic Book" w:cs="Calibri"/>
                <w:color w:val="000000"/>
                <w:sz w:val="20"/>
                <w:szCs w:val="20"/>
              </w:rPr>
              <w:br/>
              <w:t>(10.5%)</w:t>
            </w:r>
          </w:p>
        </w:tc>
      </w:tr>
      <w:tr w:rsidR="00BC7922" w:rsidRPr="003C13ED" w14:paraId="01DFBAD1" w14:textId="77777777" w:rsidTr="00C4209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6E3ADD71"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VET</w:t>
            </w:r>
          </w:p>
        </w:tc>
        <w:tc>
          <w:tcPr>
            <w:tcW w:w="915" w:type="dxa"/>
            <w:noWrap/>
            <w:vAlign w:val="center"/>
            <w:hideMark/>
          </w:tcPr>
          <w:p w14:paraId="634E30FC"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28 (4.4%)</w:t>
            </w:r>
          </w:p>
        </w:tc>
        <w:tc>
          <w:tcPr>
            <w:tcW w:w="916" w:type="dxa"/>
            <w:noWrap/>
            <w:vAlign w:val="center"/>
            <w:hideMark/>
          </w:tcPr>
          <w:p w14:paraId="49BA13F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26 (4.0%)</w:t>
            </w:r>
          </w:p>
        </w:tc>
        <w:tc>
          <w:tcPr>
            <w:tcW w:w="915" w:type="dxa"/>
            <w:vAlign w:val="center"/>
            <w:hideMark/>
          </w:tcPr>
          <w:p w14:paraId="029D5543"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39 (5.5%)</w:t>
            </w:r>
          </w:p>
        </w:tc>
        <w:tc>
          <w:tcPr>
            <w:tcW w:w="916" w:type="dxa"/>
            <w:vAlign w:val="center"/>
            <w:hideMark/>
          </w:tcPr>
          <w:p w14:paraId="68DC8CF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47 (5.8%)</w:t>
            </w:r>
          </w:p>
        </w:tc>
        <w:tc>
          <w:tcPr>
            <w:tcW w:w="915" w:type="dxa"/>
            <w:vAlign w:val="center"/>
            <w:hideMark/>
          </w:tcPr>
          <w:p w14:paraId="7019686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54 (7.1%)</w:t>
            </w:r>
          </w:p>
        </w:tc>
        <w:tc>
          <w:tcPr>
            <w:tcW w:w="916" w:type="dxa"/>
            <w:vAlign w:val="center"/>
          </w:tcPr>
          <w:p w14:paraId="19C6310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62 (6.9%)</w:t>
            </w:r>
          </w:p>
        </w:tc>
        <w:tc>
          <w:tcPr>
            <w:tcW w:w="915" w:type="dxa"/>
            <w:vAlign w:val="center"/>
          </w:tcPr>
          <w:p w14:paraId="635285D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57 (6.2%)</w:t>
            </w:r>
          </w:p>
        </w:tc>
        <w:tc>
          <w:tcPr>
            <w:tcW w:w="916" w:type="dxa"/>
            <w:vAlign w:val="center"/>
          </w:tcPr>
          <w:p w14:paraId="6FE690A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86 (9.7%)</w:t>
            </w:r>
          </w:p>
        </w:tc>
        <w:tc>
          <w:tcPr>
            <w:tcW w:w="915" w:type="dxa"/>
            <w:vAlign w:val="center"/>
          </w:tcPr>
          <w:p w14:paraId="7B4946C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111 (9.7%)</w:t>
            </w:r>
          </w:p>
        </w:tc>
        <w:tc>
          <w:tcPr>
            <w:tcW w:w="916" w:type="dxa"/>
            <w:vAlign w:val="center"/>
          </w:tcPr>
          <w:p w14:paraId="452D9CA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137</w:t>
            </w:r>
            <w:r w:rsidRPr="003C13ED">
              <w:rPr>
                <w:rFonts w:ascii="Franklin Gothic Book" w:eastAsia="Times New Roman" w:hAnsi="Franklin Gothic Book" w:cs="Calibri"/>
                <w:color w:val="000000"/>
                <w:sz w:val="20"/>
                <w:szCs w:val="20"/>
              </w:rPr>
              <w:br/>
              <w:t>(9.9%)</w:t>
            </w:r>
          </w:p>
        </w:tc>
      </w:tr>
      <w:tr w:rsidR="00BC7922" w:rsidRPr="003C13ED" w14:paraId="0F1AF1A7" w14:textId="77777777" w:rsidTr="00C42096">
        <w:trPr>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7F0E98F9"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BUS</w:t>
            </w:r>
          </w:p>
        </w:tc>
        <w:tc>
          <w:tcPr>
            <w:tcW w:w="915" w:type="dxa"/>
            <w:noWrap/>
            <w:vAlign w:val="center"/>
            <w:hideMark/>
          </w:tcPr>
          <w:p w14:paraId="6E0F796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 (2.7%)</w:t>
            </w:r>
          </w:p>
        </w:tc>
        <w:tc>
          <w:tcPr>
            <w:tcW w:w="916" w:type="dxa"/>
            <w:noWrap/>
            <w:vAlign w:val="center"/>
            <w:hideMark/>
          </w:tcPr>
          <w:p w14:paraId="62B03E73"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77 (2.7%)</w:t>
            </w:r>
          </w:p>
        </w:tc>
        <w:tc>
          <w:tcPr>
            <w:tcW w:w="915" w:type="dxa"/>
            <w:vAlign w:val="center"/>
            <w:hideMark/>
          </w:tcPr>
          <w:p w14:paraId="1E58B53F"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98 (3.6%)</w:t>
            </w:r>
          </w:p>
        </w:tc>
        <w:tc>
          <w:tcPr>
            <w:tcW w:w="916" w:type="dxa"/>
            <w:vAlign w:val="center"/>
            <w:hideMark/>
          </w:tcPr>
          <w:p w14:paraId="4C2DE1D7"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140 (5.2%)</w:t>
            </w:r>
          </w:p>
        </w:tc>
        <w:tc>
          <w:tcPr>
            <w:tcW w:w="915" w:type="dxa"/>
            <w:vAlign w:val="center"/>
            <w:hideMark/>
          </w:tcPr>
          <w:p w14:paraId="173DD88A"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163 (6.9%)</w:t>
            </w:r>
          </w:p>
        </w:tc>
        <w:tc>
          <w:tcPr>
            <w:tcW w:w="916" w:type="dxa"/>
            <w:vAlign w:val="center"/>
          </w:tcPr>
          <w:p w14:paraId="3AA8DB0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172 (6.6%)</w:t>
            </w:r>
          </w:p>
        </w:tc>
        <w:tc>
          <w:tcPr>
            <w:tcW w:w="915" w:type="dxa"/>
            <w:vAlign w:val="center"/>
          </w:tcPr>
          <w:p w14:paraId="7AE7A4E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188 (6.8%)</w:t>
            </w:r>
          </w:p>
        </w:tc>
        <w:tc>
          <w:tcPr>
            <w:tcW w:w="916" w:type="dxa"/>
            <w:vAlign w:val="center"/>
          </w:tcPr>
          <w:p w14:paraId="23AD7048"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230 (7.0%)</w:t>
            </w:r>
          </w:p>
        </w:tc>
        <w:tc>
          <w:tcPr>
            <w:tcW w:w="915" w:type="dxa"/>
            <w:vAlign w:val="center"/>
          </w:tcPr>
          <w:p w14:paraId="4FB94F80"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302 (8.5%)</w:t>
            </w:r>
          </w:p>
        </w:tc>
        <w:tc>
          <w:tcPr>
            <w:tcW w:w="916" w:type="dxa"/>
            <w:vAlign w:val="center"/>
          </w:tcPr>
          <w:p w14:paraId="132BB712" w14:textId="77777777" w:rsidR="00BC7922" w:rsidRPr="003C13ED" w:rsidRDefault="00BC7922" w:rsidP="00C42096">
            <w:pPr>
              <w:cnfStyle w:val="000000000000" w:firstRow="0" w:lastRow="0" w:firstColumn="0" w:lastColumn="0" w:oddVBand="0" w:evenVBand="0" w:oddHBand="0"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390</w:t>
            </w:r>
            <w:r w:rsidRPr="003C13ED">
              <w:rPr>
                <w:rFonts w:ascii="Franklin Gothic Book" w:eastAsia="Times New Roman" w:hAnsi="Franklin Gothic Book" w:cs="Calibri"/>
                <w:color w:val="000000"/>
                <w:sz w:val="20"/>
                <w:szCs w:val="20"/>
              </w:rPr>
              <w:br/>
              <w:t>(9.3%)</w:t>
            </w:r>
          </w:p>
        </w:tc>
      </w:tr>
      <w:tr w:rsidR="00BC7922" w:rsidRPr="003C13ED" w14:paraId="5FCC7AF2" w14:textId="77777777" w:rsidTr="00C4209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15" w:type="dxa"/>
            <w:noWrap/>
            <w:vAlign w:val="center"/>
            <w:hideMark/>
          </w:tcPr>
          <w:p w14:paraId="17B54B6B" w14:textId="77777777" w:rsidR="00BC7922" w:rsidRPr="003C13ED" w:rsidRDefault="00BC7922" w:rsidP="00C42096">
            <w:pPr>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PHRM</w:t>
            </w:r>
          </w:p>
        </w:tc>
        <w:tc>
          <w:tcPr>
            <w:tcW w:w="915" w:type="dxa"/>
            <w:noWrap/>
            <w:vAlign w:val="center"/>
            <w:hideMark/>
          </w:tcPr>
          <w:p w14:paraId="211B00B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35 (2.8%)</w:t>
            </w:r>
          </w:p>
        </w:tc>
        <w:tc>
          <w:tcPr>
            <w:tcW w:w="916" w:type="dxa"/>
            <w:noWrap/>
            <w:vAlign w:val="center"/>
            <w:hideMark/>
          </w:tcPr>
          <w:p w14:paraId="23F84DB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39 (3.0%)</w:t>
            </w:r>
          </w:p>
        </w:tc>
        <w:tc>
          <w:tcPr>
            <w:tcW w:w="915" w:type="dxa"/>
            <w:vAlign w:val="center"/>
            <w:hideMark/>
          </w:tcPr>
          <w:p w14:paraId="07C962E2"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50 (3.8%)</w:t>
            </w:r>
          </w:p>
        </w:tc>
        <w:tc>
          <w:tcPr>
            <w:tcW w:w="916" w:type="dxa"/>
            <w:vAlign w:val="center"/>
            <w:hideMark/>
          </w:tcPr>
          <w:p w14:paraId="53E33AF0"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54 (4.2%)</w:t>
            </w:r>
          </w:p>
        </w:tc>
        <w:tc>
          <w:tcPr>
            <w:tcW w:w="915" w:type="dxa"/>
            <w:vAlign w:val="center"/>
            <w:hideMark/>
          </w:tcPr>
          <w:p w14:paraId="4F58E3ED"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61 (5.0%)</w:t>
            </w:r>
          </w:p>
        </w:tc>
        <w:tc>
          <w:tcPr>
            <w:tcW w:w="916" w:type="dxa"/>
            <w:vAlign w:val="center"/>
          </w:tcPr>
          <w:p w14:paraId="202CD3AA"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63 (5.0%)</w:t>
            </w:r>
          </w:p>
        </w:tc>
        <w:tc>
          <w:tcPr>
            <w:tcW w:w="915" w:type="dxa"/>
            <w:vAlign w:val="center"/>
          </w:tcPr>
          <w:p w14:paraId="72C0EF0E"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 (6.4%)</w:t>
            </w:r>
          </w:p>
        </w:tc>
        <w:tc>
          <w:tcPr>
            <w:tcW w:w="916" w:type="dxa"/>
            <w:vAlign w:val="center"/>
          </w:tcPr>
          <w:p w14:paraId="6E9FE52B"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87 (6.9%)</w:t>
            </w:r>
          </w:p>
        </w:tc>
        <w:tc>
          <w:tcPr>
            <w:tcW w:w="915" w:type="dxa"/>
            <w:vAlign w:val="center"/>
          </w:tcPr>
          <w:p w14:paraId="072790D8"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99</w:t>
            </w:r>
          </w:p>
          <w:p w14:paraId="13EC6971"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 xml:space="preserve"> (8.1%)</w:t>
            </w:r>
          </w:p>
        </w:tc>
        <w:tc>
          <w:tcPr>
            <w:tcW w:w="916" w:type="dxa"/>
            <w:vAlign w:val="center"/>
          </w:tcPr>
          <w:p w14:paraId="6F95C5A7" w14:textId="77777777" w:rsidR="00BC7922" w:rsidRPr="003C13ED" w:rsidRDefault="00BC7922" w:rsidP="00C42096">
            <w:pPr>
              <w:cnfStyle w:val="000000100000" w:firstRow="0" w:lastRow="0" w:firstColumn="0" w:lastColumn="0" w:oddVBand="0" w:evenVBand="0" w:oddHBand="1" w:evenHBand="0" w:firstRowFirstColumn="0" w:firstRowLastColumn="0" w:lastRowFirstColumn="0" w:lastRowLastColumn="0"/>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117</w:t>
            </w:r>
            <w:r w:rsidRPr="003C13ED">
              <w:rPr>
                <w:rFonts w:ascii="Franklin Gothic Book" w:eastAsia="Times New Roman" w:hAnsi="Franklin Gothic Book" w:cs="Calibri"/>
                <w:color w:val="000000"/>
                <w:sz w:val="20"/>
                <w:szCs w:val="20"/>
              </w:rPr>
              <w:br/>
              <w:t>(9.5%)</w:t>
            </w:r>
          </w:p>
        </w:tc>
      </w:tr>
    </w:tbl>
    <w:p w14:paraId="429589AE" w14:textId="77777777" w:rsidR="00BC7922" w:rsidRDefault="00BC7922" w:rsidP="00BC7922">
      <w:pPr>
        <w:rPr>
          <w:rFonts w:ascii="Franklin Gothic Book" w:hAnsi="Franklin Gothic Book"/>
          <w:i/>
          <w:iCs/>
          <w:color w:val="44546A" w:themeColor="text2"/>
          <w:sz w:val="20"/>
          <w:szCs w:val="20"/>
        </w:rPr>
      </w:pPr>
    </w:p>
    <w:p w14:paraId="7DCFA409" w14:textId="502DBA11" w:rsidR="00BC7922" w:rsidRPr="00F62A69" w:rsidRDefault="00BC7922" w:rsidP="00BC7922">
      <w:r w:rsidRPr="00F62A69">
        <w:rPr>
          <w:rFonts w:cs="Calibri"/>
        </w:rPr>
        <w:t xml:space="preserve">While Engineering maintains the highest absolute numbers with over 1,400 registered students, Liberal Arts, Agriculture, and Health &amp; Human Sciences now show the highest proportional representation, each serving over 13% of their respective college populations. This distribution suggests successful outreach across </w:t>
      </w:r>
      <w:r w:rsidR="00CF501D">
        <w:rPr>
          <w:rFonts w:cs="Calibri"/>
        </w:rPr>
        <w:t xml:space="preserve">varied </w:t>
      </w:r>
      <w:r w:rsidRPr="00F62A69">
        <w:rPr>
          <w:rFonts w:cs="Calibri"/>
        </w:rPr>
        <w:t>academic disciplines.</w:t>
      </w:r>
    </w:p>
    <w:p w14:paraId="21D4E695" w14:textId="77777777" w:rsidR="00BC7922" w:rsidRPr="003C13ED" w:rsidRDefault="00BC7922" w:rsidP="00BC7922">
      <w:pPr>
        <w:pStyle w:val="Caption"/>
        <w:keepNext/>
        <w:jc w:val="center"/>
        <w:rPr>
          <w:rFonts w:ascii="Franklin Gothic Book" w:hAnsi="Franklin Gothic Book"/>
        </w:rPr>
      </w:pPr>
      <w:r w:rsidRPr="003C13ED">
        <w:rPr>
          <w:rFonts w:ascii="Franklin Gothic Book" w:hAnsi="Franklin Gothic Book"/>
        </w:rPr>
        <w:t xml:space="preserve">Table </w:t>
      </w:r>
      <w:r>
        <w:rPr>
          <w:rFonts w:ascii="Franklin Gothic Book" w:hAnsi="Franklin Gothic Book"/>
        </w:rPr>
        <w:t>7</w:t>
      </w:r>
      <w:r w:rsidRPr="003C13ED">
        <w:rPr>
          <w:rFonts w:ascii="Franklin Gothic Book" w:hAnsi="Franklin Gothic Book"/>
        </w:rPr>
        <w:t xml:space="preserve">: Number of new FTFT Students who Registered with the DRC in Each Year. Included percentages represent the running total of previous and current year(s) of FTFT Students Registered with the DRC.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84"/>
        <w:gridCol w:w="1317"/>
        <w:gridCol w:w="1317"/>
        <w:gridCol w:w="1317"/>
        <w:gridCol w:w="1317"/>
        <w:gridCol w:w="1317"/>
        <w:gridCol w:w="1317"/>
      </w:tblGrid>
      <w:tr w:rsidR="00BC7922" w:rsidRPr="003C13ED" w14:paraId="051528C8" w14:textId="77777777" w:rsidTr="00C42096">
        <w:trPr>
          <w:trHeight w:val="20"/>
          <w:jc w:val="center"/>
        </w:trPr>
        <w:tc>
          <w:tcPr>
            <w:tcW w:w="538" w:type="pct"/>
            <w:noWrap/>
            <w:vAlign w:val="center"/>
            <w:hideMark/>
          </w:tcPr>
          <w:p w14:paraId="7F9E989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 </w:t>
            </w:r>
          </w:p>
        </w:tc>
        <w:tc>
          <w:tcPr>
            <w:tcW w:w="538" w:type="pct"/>
            <w:vAlign w:val="center"/>
            <w:hideMark/>
          </w:tcPr>
          <w:p w14:paraId="025127D0"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Purdue Cohort</w:t>
            </w:r>
          </w:p>
        </w:tc>
        <w:tc>
          <w:tcPr>
            <w:tcW w:w="654" w:type="pct"/>
            <w:vAlign w:val="center"/>
            <w:hideMark/>
          </w:tcPr>
          <w:p w14:paraId="7E70FE59"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1st Year</w:t>
            </w:r>
          </w:p>
        </w:tc>
        <w:tc>
          <w:tcPr>
            <w:tcW w:w="654" w:type="pct"/>
            <w:vAlign w:val="center"/>
            <w:hideMark/>
          </w:tcPr>
          <w:p w14:paraId="4FDA877B"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2nd Year</w:t>
            </w:r>
          </w:p>
        </w:tc>
        <w:tc>
          <w:tcPr>
            <w:tcW w:w="654" w:type="pct"/>
            <w:vAlign w:val="center"/>
            <w:hideMark/>
          </w:tcPr>
          <w:p w14:paraId="0D8C60DD"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3rd Year</w:t>
            </w:r>
          </w:p>
        </w:tc>
        <w:tc>
          <w:tcPr>
            <w:tcW w:w="654" w:type="pct"/>
            <w:vAlign w:val="center"/>
            <w:hideMark/>
          </w:tcPr>
          <w:p w14:paraId="5D6CB654"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4th Year</w:t>
            </w:r>
          </w:p>
        </w:tc>
        <w:tc>
          <w:tcPr>
            <w:tcW w:w="654" w:type="pct"/>
            <w:vAlign w:val="center"/>
            <w:hideMark/>
          </w:tcPr>
          <w:p w14:paraId="2E9BAFA0"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5th Year</w:t>
            </w:r>
          </w:p>
        </w:tc>
        <w:tc>
          <w:tcPr>
            <w:tcW w:w="654" w:type="pct"/>
            <w:vAlign w:val="center"/>
            <w:hideMark/>
          </w:tcPr>
          <w:p w14:paraId="25AD5150" w14:textId="77777777" w:rsidR="00BC7922" w:rsidRPr="0074026B" w:rsidRDefault="00BC7922" w:rsidP="00C42096">
            <w:pPr>
              <w:spacing w:after="0" w:line="240" w:lineRule="auto"/>
              <w:rPr>
                <w:rFonts w:ascii="Franklin Gothic Book" w:eastAsia="Times New Roman" w:hAnsi="Franklin Gothic Book" w:cs="Calibri"/>
                <w:b/>
                <w:bCs/>
                <w:color w:val="000000"/>
                <w:sz w:val="20"/>
                <w:szCs w:val="20"/>
              </w:rPr>
            </w:pPr>
            <w:r w:rsidRPr="0074026B">
              <w:rPr>
                <w:rFonts w:ascii="Franklin Gothic Book" w:eastAsia="Times New Roman" w:hAnsi="Franklin Gothic Book" w:cs="Calibri"/>
                <w:b/>
                <w:bCs/>
                <w:color w:val="000000"/>
                <w:sz w:val="20"/>
                <w:szCs w:val="20"/>
              </w:rPr>
              <w:t>Registered 6th Year</w:t>
            </w:r>
          </w:p>
        </w:tc>
      </w:tr>
      <w:tr w:rsidR="00BC7922" w:rsidRPr="003C13ED" w14:paraId="5C2F805E" w14:textId="77777777" w:rsidTr="00C42096">
        <w:trPr>
          <w:trHeight w:val="20"/>
          <w:jc w:val="center"/>
        </w:trPr>
        <w:tc>
          <w:tcPr>
            <w:tcW w:w="538" w:type="pct"/>
            <w:vMerge w:val="restart"/>
            <w:vAlign w:val="center"/>
            <w:hideMark/>
          </w:tcPr>
          <w:p w14:paraId="17CA3569"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2011</w:t>
            </w:r>
          </w:p>
        </w:tc>
        <w:tc>
          <w:tcPr>
            <w:tcW w:w="538" w:type="pct"/>
            <w:vMerge w:val="restart"/>
            <w:noWrap/>
            <w:vAlign w:val="center"/>
            <w:hideMark/>
          </w:tcPr>
          <w:p w14:paraId="436FABD3"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6660</w:t>
            </w:r>
          </w:p>
        </w:tc>
        <w:tc>
          <w:tcPr>
            <w:tcW w:w="654" w:type="pct"/>
            <w:noWrap/>
            <w:vAlign w:val="center"/>
            <w:hideMark/>
          </w:tcPr>
          <w:p w14:paraId="2E1F9DB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124</w:t>
            </w:r>
          </w:p>
        </w:tc>
        <w:tc>
          <w:tcPr>
            <w:tcW w:w="654" w:type="pct"/>
            <w:noWrap/>
            <w:vAlign w:val="center"/>
            <w:hideMark/>
          </w:tcPr>
          <w:p w14:paraId="0DF223B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59</w:t>
            </w:r>
          </w:p>
        </w:tc>
        <w:tc>
          <w:tcPr>
            <w:tcW w:w="654" w:type="pct"/>
            <w:noWrap/>
            <w:vAlign w:val="center"/>
            <w:hideMark/>
          </w:tcPr>
          <w:p w14:paraId="1D50D9B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34</w:t>
            </w:r>
          </w:p>
        </w:tc>
        <w:tc>
          <w:tcPr>
            <w:tcW w:w="654" w:type="pct"/>
            <w:noWrap/>
            <w:vAlign w:val="center"/>
            <w:hideMark/>
          </w:tcPr>
          <w:p w14:paraId="41BDA1E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26</w:t>
            </w:r>
          </w:p>
        </w:tc>
        <w:tc>
          <w:tcPr>
            <w:tcW w:w="654" w:type="pct"/>
            <w:noWrap/>
            <w:vAlign w:val="center"/>
            <w:hideMark/>
          </w:tcPr>
          <w:p w14:paraId="22F8823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19</w:t>
            </w:r>
          </w:p>
        </w:tc>
        <w:tc>
          <w:tcPr>
            <w:tcW w:w="654" w:type="pct"/>
            <w:vAlign w:val="center"/>
            <w:hideMark/>
          </w:tcPr>
          <w:p w14:paraId="32A76DE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0</w:t>
            </w:r>
          </w:p>
        </w:tc>
      </w:tr>
      <w:tr w:rsidR="00BC7922" w:rsidRPr="003C13ED" w14:paraId="4F2BDB7D" w14:textId="77777777" w:rsidTr="00C42096">
        <w:trPr>
          <w:trHeight w:val="20"/>
          <w:jc w:val="center"/>
        </w:trPr>
        <w:tc>
          <w:tcPr>
            <w:tcW w:w="538" w:type="pct"/>
            <w:vMerge/>
            <w:vAlign w:val="center"/>
          </w:tcPr>
          <w:p w14:paraId="255C8D5C"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noWrap/>
            <w:vAlign w:val="center"/>
          </w:tcPr>
          <w:p w14:paraId="6AA7DBE2"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noWrap/>
            <w:vAlign w:val="center"/>
          </w:tcPr>
          <w:p w14:paraId="44AB68A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1.9%</w:t>
            </w:r>
          </w:p>
        </w:tc>
        <w:tc>
          <w:tcPr>
            <w:tcW w:w="654" w:type="pct"/>
            <w:noWrap/>
            <w:vAlign w:val="center"/>
          </w:tcPr>
          <w:p w14:paraId="7EDAE30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2.7%</w:t>
            </w:r>
          </w:p>
        </w:tc>
        <w:tc>
          <w:tcPr>
            <w:tcW w:w="654" w:type="pct"/>
            <w:noWrap/>
            <w:vAlign w:val="center"/>
          </w:tcPr>
          <w:p w14:paraId="2E444FE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3.3%</w:t>
            </w:r>
          </w:p>
        </w:tc>
        <w:tc>
          <w:tcPr>
            <w:tcW w:w="654" w:type="pct"/>
            <w:noWrap/>
            <w:vAlign w:val="center"/>
          </w:tcPr>
          <w:p w14:paraId="0DB9E1A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3.6%</w:t>
            </w:r>
          </w:p>
        </w:tc>
        <w:tc>
          <w:tcPr>
            <w:tcW w:w="654" w:type="pct"/>
            <w:noWrap/>
            <w:vAlign w:val="center"/>
          </w:tcPr>
          <w:p w14:paraId="2F11A45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3.9%</w:t>
            </w:r>
          </w:p>
        </w:tc>
        <w:tc>
          <w:tcPr>
            <w:tcW w:w="654" w:type="pct"/>
            <w:vAlign w:val="center"/>
          </w:tcPr>
          <w:p w14:paraId="52DBA3E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3.9%</w:t>
            </w:r>
          </w:p>
        </w:tc>
      </w:tr>
      <w:tr w:rsidR="00BC7922" w:rsidRPr="003C13ED" w14:paraId="2B9FB139" w14:textId="77777777" w:rsidTr="00C42096">
        <w:trPr>
          <w:trHeight w:val="20"/>
          <w:jc w:val="center"/>
        </w:trPr>
        <w:tc>
          <w:tcPr>
            <w:tcW w:w="538" w:type="pct"/>
            <w:vMerge w:val="restart"/>
            <w:shd w:val="clear" w:color="auto" w:fill="F2F2F2" w:themeFill="background1" w:themeFillShade="F2"/>
            <w:vAlign w:val="center"/>
            <w:hideMark/>
          </w:tcPr>
          <w:p w14:paraId="60902CF0"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2012</w:t>
            </w:r>
          </w:p>
        </w:tc>
        <w:tc>
          <w:tcPr>
            <w:tcW w:w="538" w:type="pct"/>
            <w:vMerge w:val="restart"/>
            <w:shd w:val="clear" w:color="auto" w:fill="F2F2F2" w:themeFill="background1" w:themeFillShade="F2"/>
            <w:noWrap/>
            <w:vAlign w:val="center"/>
            <w:hideMark/>
          </w:tcPr>
          <w:p w14:paraId="1618EDEC"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6329</w:t>
            </w:r>
          </w:p>
        </w:tc>
        <w:tc>
          <w:tcPr>
            <w:tcW w:w="654" w:type="pct"/>
            <w:shd w:val="clear" w:color="auto" w:fill="F2F2F2" w:themeFill="background1" w:themeFillShade="F2"/>
            <w:noWrap/>
            <w:vAlign w:val="center"/>
            <w:hideMark/>
          </w:tcPr>
          <w:p w14:paraId="556C3E7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151</w:t>
            </w:r>
          </w:p>
        </w:tc>
        <w:tc>
          <w:tcPr>
            <w:tcW w:w="654" w:type="pct"/>
            <w:shd w:val="clear" w:color="auto" w:fill="F2F2F2" w:themeFill="background1" w:themeFillShade="F2"/>
            <w:noWrap/>
            <w:vAlign w:val="center"/>
            <w:hideMark/>
          </w:tcPr>
          <w:p w14:paraId="34A4485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54</w:t>
            </w:r>
          </w:p>
        </w:tc>
        <w:tc>
          <w:tcPr>
            <w:tcW w:w="654" w:type="pct"/>
            <w:shd w:val="clear" w:color="auto" w:fill="F2F2F2" w:themeFill="background1" w:themeFillShade="F2"/>
            <w:noWrap/>
            <w:vAlign w:val="center"/>
            <w:hideMark/>
          </w:tcPr>
          <w:p w14:paraId="1D793DC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50</w:t>
            </w:r>
          </w:p>
        </w:tc>
        <w:tc>
          <w:tcPr>
            <w:tcW w:w="654" w:type="pct"/>
            <w:shd w:val="clear" w:color="auto" w:fill="F2F2F2" w:themeFill="background1" w:themeFillShade="F2"/>
            <w:noWrap/>
            <w:vAlign w:val="center"/>
            <w:hideMark/>
          </w:tcPr>
          <w:p w14:paraId="4F42D56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40</w:t>
            </w:r>
          </w:p>
        </w:tc>
        <w:tc>
          <w:tcPr>
            <w:tcW w:w="654" w:type="pct"/>
            <w:shd w:val="clear" w:color="auto" w:fill="F2F2F2" w:themeFill="background1" w:themeFillShade="F2"/>
            <w:noWrap/>
            <w:vAlign w:val="center"/>
            <w:hideMark/>
          </w:tcPr>
          <w:p w14:paraId="5201A46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13</w:t>
            </w:r>
          </w:p>
        </w:tc>
        <w:tc>
          <w:tcPr>
            <w:tcW w:w="654" w:type="pct"/>
            <w:shd w:val="clear" w:color="auto" w:fill="F2F2F2" w:themeFill="background1" w:themeFillShade="F2"/>
            <w:vAlign w:val="center"/>
            <w:hideMark/>
          </w:tcPr>
          <w:p w14:paraId="240D41B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0</w:t>
            </w:r>
          </w:p>
        </w:tc>
      </w:tr>
      <w:tr w:rsidR="00BC7922" w:rsidRPr="003C13ED" w14:paraId="24469972" w14:textId="77777777" w:rsidTr="00C42096">
        <w:trPr>
          <w:trHeight w:val="20"/>
          <w:jc w:val="center"/>
        </w:trPr>
        <w:tc>
          <w:tcPr>
            <w:tcW w:w="538" w:type="pct"/>
            <w:vMerge/>
            <w:shd w:val="clear" w:color="auto" w:fill="F2F2F2" w:themeFill="background1" w:themeFillShade="F2"/>
            <w:vAlign w:val="center"/>
          </w:tcPr>
          <w:p w14:paraId="285EAF13"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536F3DCC"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6DA2A96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2.4%</w:t>
            </w:r>
          </w:p>
        </w:tc>
        <w:tc>
          <w:tcPr>
            <w:tcW w:w="654" w:type="pct"/>
            <w:shd w:val="clear" w:color="auto" w:fill="F2F2F2" w:themeFill="background1" w:themeFillShade="F2"/>
            <w:noWrap/>
            <w:vAlign w:val="center"/>
          </w:tcPr>
          <w:p w14:paraId="1449BCA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3.2%</w:t>
            </w:r>
          </w:p>
        </w:tc>
        <w:tc>
          <w:tcPr>
            <w:tcW w:w="654" w:type="pct"/>
            <w:shd w:val="clear" w:color="auto" w:fill="F2F2F2" w:themeFill="background1" w:themeFillShade="F2"/>
            <w:noWrap/>
            <w:vAlign w:val="center"/>
          </w:tcPr>
          <w:p w14:paraId="6BD6D2E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4.0%</w:t>
            </w:r>
          </w:p>
        </w:tc>
        <w:tc>
          <w:tcPr>
            <w:tcW w:w="654" w:type="pct"/>
            <w:shd w:val="clear" w:color="auto" w:fill="F2F2F2" w:themeFill="background1" w:themeFillShade="F2"/>
            <w:noWrap/>
            <w:vAlign w:val="center"/>
          </w:tcPr>
          <w:p w14:paraId="2B65639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4.7%</w:t>
            </w:r>
          </w:p>
        </w:tc>
        <w:tc>
          <w:tcPr>
            <w:tcW w:w="654" w:type="pct"/>
            <w:shd w:val="clear" w:color="auto" w:fill="F2F2F2" w:themeFill="background1" w:themeFillShade="F2"/>
            <w:noWrap/>
            <w:vAlign w:val="center"/>
          </w:tcPr>
          <w:p w14:paraId="6BA9C3D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4.9%</w:t>
            </w:r>
          </w:p>
        </w:tc>
        <w:tc>
          <w:tcPr>
            <w:tcW w:w="654" w:type="pct"/>
            <w:shd w:val="clear" w:color="auto" w:fill="F2F2F2" w:themeFill="background1" w:themeFillShade="F2"/>
            <w:vAlign w:val="center"/>
          </w:tcPr>
          <w:p w14:paraId="6ACBB75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4.9%</w:t>
            </w:r>
          </w:p>
        </w:tc>
      </w:tr>
      <w:tr w:rsidR="00BC7922" w:rsidRPr="003C13ED" w14:paraId="2CE59A6B" w14:textId="77777777" w:rsidTr="00C42096">
        <w:trPr>
          <w:trHeight w:val="20"/>
          <w:jc w:val="center"/>
        </w:trPr>
        <w:tc>
          <w:tcPr>
            <w:tcW w:w="538" w:type="pct"/>
            <w:vMerge w:val="restart"/>
            <w:vAlign w:val="center"/>
            <w:hideMark/>
          </w:tcPr>
          <w:p w14:paraId="43796D7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2013</w:t>
            </w:r>
          </w:p>
        </w:tc>
        <w:tc>
          <w:tcPr>
            <w:tcW w:w="538" w:type="pct"/>
            <w:vMerge w:val="restart"/>
            <w:noWrap/>
            <w:vAlign w:val="center"/>
            <w:hideMark/>
          </w:tcPr>
          <w:p w14:paraId="2469AA9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6319</w:t>
            </w:r>
          </w:p>
        </w:tc>
        <w:tc>
          <w:tcPr>
            <w:tcW w:w="654" w:type="pct"/>
            <w:noWrap/>
            <w:vAlign w:val="center"/>
            <w:hideMark/>
          </w:tcPr>
          <w:p w14:paraId="04C2A22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157</w:t>
            </w:r>
          </w:p>
        </w:tc>
        <w:tc>
          <w:tcPr>
            <w:tcW w:w="654" w:type="pct"/>
            <w:noWrap/>
            <w:vAlign w:val="center"/>
            <w:hideMark/>
          </w:tcPr>
          <w:p w14:paraId="39D35B3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55</w:t>
            </w:r>
          </w:p>
        </w:tc>
        <w:tc>
          <w:tcPr>
            <w:tcW w:w="654" w:type="pct"/>
            <w:noWrap/>
            <w:vAlign w:val="center"/>
            <w:hideMark/>
          </w:tcPr>
          <w:p w14:paraId="7C5FAE9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47</w:t>
            </w:r>
          </w:p>
        </w:tc>
        <w:tc>
          <w:tcPr>
            <w:tcW w:w="654" w:type="pct"/>
            <w:noWrap/>
            <w:vAlign w:val="center"/>
            <w:hideMark/>
          </w:tcPr>
          <w:p w14:paraId="7DB9AD9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27</w:t>
            </w:r>
          </w:p>
        </w:tc>
        <w:tc>
          <w:tcPr>
            <w:tcW w:w="654" w:type="pct"/>
            <w:noWrap/>
            <w:vAlign w:val="center"/>
            <w:hideMark/>
          </w:tcPr>
          <w:p w14:paraId="574693C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14</w:t>
            </w:r>
          </w:p>
        </w:tc>
        <w:tc>
          <w:tcPr>
            <w:tcW w:w="654" w:type="pct"/>
            <w:vAlign w:val="center"/>
            <w:hideMark/>
          </w:tcPr>
          <w:p w14:paraId="49A07CE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w:t>
            </w:r>
          </w:p>
        </w:tc>
      </w:tr>
      <w:tr w:rsidR="00BC7922" w:rsidRPr="003C13ED" w14:paraId="62DB569A" w14:textId="77777777" w:rsidTr="00C42096">
        <w:trPr>
          <w:trHeight w:val="20"/>
          <w:jc w:val="center"/>
        </w:trPr>
        <w:tc>
          <w:tcPr>
            <w:tcW w:w="538" w:type="pct"/>
            <w:vMerge/>
            <w:vAlign w:val="center"/>
          </w:tcPr>
          <w:p w14:paraId="7F61BA2F"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noWrap/>
            <w:vAlign w:val="center"/>
          </w:tcPr>
          <w:p w14:paraId="63308992"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noWrap/>
            <w:vAlign w:val="center"/>
          </w:tcPr>
          <w:p w14:paraId="581A807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2.5%</w:t>
            </w:r>
          </w:p>
        </w:tc>
        <w:tc>
          <w:tcPr>
            <w:tcW w:w="654" w:type="pct"/>
            <w:noWrap/>
            <w:vAlign w:val="center"/>
          </w:tcPr>
          <w:p w14:paraId="0BBFAB6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3.4%</w:t>
            </w:r>
          </w:p>
        </w:tc>
        <w:tc>
          <w:tcPr>
            <w:tcW w:w="654" w:type="pct"/>
            <w:noWrap/>
            <w:vAlign w:val="center"/>
          </w:tcPr>
          <w:p w14:paraId="531E60A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4.1%</w:t>
            </w:r>
          </w:p>
        </w:tc>
        <w:tc>
          <w:tcPr>
            <w:tcW w:w="654" w:type="pct"/>
            <w:noWrap/>
            <w:vAlign w:val="center"/>
          </w:tcPr>
          <w:p w14:paraId="4F6F049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4.5%</w:t>
            </w:r>
          </w:p>
        </w:tc>
        <w:tc>
          <w:tcPr>
            <w:tcW w:w="654" w:type="pct"/>
            <w:noWrap/>
            <w:vAlign w:val="center"/>
          </w:tcPr>
          <w:p w14:paraId="7110F75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4.7%</w:t>
            </w:r>
          </w:p>
        </w:tc>
        <w:tc>
          <w:tcPr>
            <w:tcW w:w="654" w:type="pct"/>
            <w:vAlign w:val="center"/>
          </w:tcPr>
          <w:p w14:paraId="32EDAB8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4.8%</w:t>
            </w:r>
          </w:p>
        </w:tc>
      </w:tr>
      <w:tr w:rsidR="00BC7922" w:rsidRPr="003C13ED" w14:paraId="7300EE9E" w14:textId="77777777" w:rsidTr="00C42096">
        <w:trPr>
          <w:trHeight w:val="20"/>
          <w:jc w:val="center"/>
        </w:trPr>
        <w:tc>
          <w:tcPr>
            <w:tcW w:w="538" w:type="pct"/>
            <w:vMerge w:val="restart"/>
            <w:shd w:val="clear" w:color="auto" w:fill="F2F2F2" w:themeFill="background1" w:themeFillShade="F2"/>
            <w:vAlign w:val="center"/>
            <w:hideMark/>
          </w:tcPr>
          <w:p w14:paraId="139640FE"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2014</w:t>
            </w:r>
          </w:p>
        </w:tc>
        <w:tc>
          <w:tcPr>
            <w:tcW w:w="538" w:type="pct"/>
            <w:vMerge w:val="restart"/>
            <w:shd w:val="clear" w:color="auto" w:fill="F2F2F2" w:themeFill="background1" w:themeFillShade="F2"/>
            <w:noWrap/>
            <w:vAlign w:val="center"/>
            <w:hideMark/>
          </w:tcPr>
          <w:p w14:paraId="06480B19"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6408</w:t>
            </w:r>
          </w:p>
        </w:tc>
        <w:tc>
          <w:tcPr>
            <w:tcW w:w="654" w:type="pct"/>
            <w:shd w:val="clear" w:color="auto" w:fill="F2F2F2" w:themeFill="background1" w:themeFillShade="F2"/>
            <w:noWrap/>
            <w:vAlign w:val="center"/>
            <w:hideMark/>
          </w:tcPr>
          <w:p w14:paraId="14DE61C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153</w:t>
            </w:r>
          </w:p>
        </w:tc>
        <w:tc>
          <w:tcPr>
            <w:tcW w:w="654" w:type="pct"/>
            <w:shd w:val="clear" w:color="auto" w:fill="F2F2F2" w:themeFill="background1" w:themeFillShade="F2"/>
            <w:noWrap/>
            <w:vAlign w:val="center"/>
            <w:hideMark/>
          </w:tcPr>
          <w:p w14:paraId="3258C7E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59</w:t>
            </w:r>
          </w:p>
        </w:tc>
        <w:tc>
          <w:tcPr>
            <w:tcW w:w="654" w:type="pct"/>
            <w:shd w:val="clear" w:color="auto" w:fill="F2F2F2" w:themeFill="background1" w:themeFillShade="F2"/>
            <w:noWrap/>
            <w:vAlign w:val="center"/>
            <w:hideMark/>
          </w:tcPr>
          <w:p w14:paraId="12FA023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59</w:t>
            </w:r>
          </w:p>
        </w:tc>
        <w:tc>
          <w:tcPr>
            <w:tcW w:w="654" w:type="pct"/>
            <w:shd w:val="clear" w:color="auto" w:fill="F2F2F2" w:themeFill="background1" w:themeFillShade="F2"/>
            <w:noWrap/>
            <w:vAlign w:val="center"/>
            <w:hideMark/>
          </w:tcPr>
          <w:p w14:paraId="1C34109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62</w:t>
            </w:r>
          </w:p>
        </w:tc>
        <w:tc>
          <w:tcPr>
            <w:tcW w:w="654" w:type="pct"/>
            <w:shd w:val="clear" w:color="auto" w:fill="F2F2F2" w:themeFill="background1" w:themeFillShade="F2"/>
            <w:noWrap/>
            <w:vAlign w:val="center"/>
            <w:hideMark/>
          </w:tcPr>
          <w:p w14:paraId="146E0A9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28</w:t>
            </w:r>
          </w:p>
        </w:tc>
        <w:tc>
          <w:tcPr>
            <w:tcW w:w="654" w:type="pct"/>
            <w:shd w:val="clear" w:color="auto" w:fill="F2F2F2" w:themeFill="background1" w:themeFillShade="F2"/>
            <w:vAlign w:val="center"/>
            <w:hideMark/>
          </w:tcPr>
          <w:p w14:paraId="5C98F52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9</w:t>
            </w:r>
          </w:p>
        </w:tc>
      </w:tr>
      <w:tr w:rsidR="00BC7922" w:rsidRPr="003C13ED" w14:paraId="66851F99" w14:textId="77777777" w:rsidTr="00C42096">
        <w:trPr>
          <w:trHeight w:val="20"/>
          <w:jc w:val="center"/>
        </w:trPr>
        <w:tc>
          <w:tcPr>
            <w:tcW w:w="538" w:type="pct"/>
            <w:vMerge/>
            <w:shd w:val="clear" w:color="auto" w:fill="F2F2F2" w:themeFill="background1" w:themeFillShade="F2"/>
            <w:vAlign w:val="center"/>
          </w:tcPr>
          <w:p w14:paraId="05CF185E"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74E67017"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4767070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2.4%</w:t>
            </w:r>
          </w:p>
        </w:tc>
        <w:tc>
          <w:tcPr>
            <w:tcW w:w="654" w:type="pct"/>
            <w:shd w:val="clear" w:color="auto" w:fill="F2F2F2" w:themeFill="background1" w:themeFillShade="F2"/>
            <w:noWrap/>
            <w:vAlign w:val="center"/>
          </w:tcPr>
          <w:p w14:paraId="5686A91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3.3%</w:t>
            </w:r>
          </w:p>
        </w:tc>
        <w:tc>
          <w:tcPr>
            <w:tcW w:w="654" w:type="pct"/>
            <w:shd w:val="clear" w:color="auto" w:fill="F2F2F2" w:themeFill="background1" w:themeFillShade="F2"/>
            <w:noWrap/>
            <w:vAlign w:val="center"/>
          </w:tcPr>
          <w:p w14:paraId="0711744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4.2%</w:t>
            </w:r>
          </w:p>
        </w:tc>
        <w:tc>
          <w:tcPr>
            <w:tcW w:w="654" w:type="pct"/>
            <w:shd w:val="clear" w:color="auto" w:fill="F2F2F2" w:themeFill="background1" w:themeFillShade="F2"/>
            <w:noWrap/>
            <w:vAlign w:val="center"/>
          </w:tcPr>
          <w:p w14:paraId="43A6A5F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5.2%</w:t>
            </w:r>
          </w:p>
        </w:tc>
        <w:tc>
          <w:tcPr>
            <w:tcW w:w="654" w:type="pct"/>
            <w:shd w:val="clear" w:color="auto" w:fill="F2F2F2" w:themeFill="background1" w:themeFillShade="F2"/>
            <w:noWrap/>
            <w:vAlign w:val="center"/>
          </w:tcPr>
          <w:p w14:paraId="6B3A4E0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5.6%</w:t>
            </w:r>
          </w:p>
        </w:tc>
        <w:tc>
          <w:tcPr>
            <w:tcW w:w="654" w:type="pct"/>
            <w:shd w:val="clear" w:color="auto" w:fill="F2F2F2" w:themeFill="background1" w:themeFillShade="F2"/>
            <w:vAlign w:val="center"/>
          </w:tcPr>
          <w:p w14:paraId="36D00CB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5.8%</w:t>
            </w:r>
          </w:p>
        </w:tc>
      </w:tr>
      <w:tr w:rsidR="00BC7922" w:rsidRPr="003C13ED" w14:paraId="29D7C19A" w14:textId="77777777" w:rsidTr="00C42096">
        <w:trPr>
          <w:trHeight w:val="20"/>
          <w:jc w:val="center"/>
        </w:trPr>
        <w:tc>
          <w:tcPr>
            <w:tcW w:w="538" w:type="pct"/>
            <w:vMerge w:val="restart"/>
            <w:vAlign w:val="center"/>
            <w:hideMark/>
          </w:tcPr>
          <w:p w14:paraId="1C1A1D3B"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2015</w:t>
            </w:r>
          </w:p>
        </w:tc>
        <w:tc>
          <w:tcPr>
            <w:tcW w:w="538" w:type="pct"/>
            <w:vMerge w:val="restart"/>
            <w:shd w:val="clear" w:color="000000" w:fill="FFFFFF"/>
            <w:noWrap/>
            <w:vAlign w:val="center"/>
            <w:hideMark/>
          </w:tcPr>
          <w:p w14:paraId="30E02272"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6855</w:t>
            </w:r>
          </w:p>
        </w:tc>
        <w:tc>
          <w:tcPr>
            <w:tcW w:w="654" w:type="pct"/>
            <w:noWrap/>
            <w:vAlign w:val="center"/>
            <w:hideMark/>
          </w:tcPr>
          <w:p w14:paraId="21964A3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245</w:t>
            </w:r>
          </w:p>
        </w:tc>
        <w:tc>
          <w:tcPr>
            <w:tcW w:w="654" w:type="pct"/>
            <w:noWrap/>
            <w:vAlign w:val="center"/>
            <w:hideMark/>
          </w:tcPr>
          <w:p w14:paraId="1DAA729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102</w:t>
            </w:r>
          </w:p>
        </w:tc>
        <w:tc>
          <w:tcPr>
            <w:tcW w:w="654" w:type="pct"/>
            <w:noWrap/>
            <w:vAlign w:val="center"/>
            <w:hideMark/>
          </w:tcPr>
          <w:p w14:paraId="2EFB6E7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88</w:t>
            </w:r>
          </w:p>
        </w:tc>
        <w:tc>
          <w:tcPr>
            <w:tcW w:w="654" w:type="pct"/>
            <w:noWrap/>
            <w:vAlign w:val="center"/>
            <w:hideMark/>
          </w:tcPr>
          <w:p w14:paraId="7ECA848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72</w:t>
            </w:r>
          </w:p>
        </w:tc>
        <w:tc>
          <w:tcPr>
            <w:tcW w:w="654" w:type="pct"/>
            <w:shd w:val="clear" w:color="000000" w:fill="FFFFFF"/>
            <w:noWrap/>
            <w:vAlign w:val="center"/>
            <w:hideMark/>
          </w:tcPr>
          <w:p w14:paraId="3A4A339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22</w:t>
            </w:r>
          </w:p>
        </w:tc>
        <w:tc>
          <w:tcPr>
            <w:tcW w:w="654" w:type="pct"/>
            <w:shd w:val="clear" w:color="000000" w:fill="FFFFFF"/>
            <w:vAlign w:val="center"/>
            <w:hideMark/>
          </w:tcPr>
          <w:p w14:paraId="4BA8E7F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w:t>
            </w:r>
          </w:p>
        </w:tc>
      </w:tr>
      <w:tr w:rsidR="00BC7922" w:rsidRPr="003C13ED" w14:paraId="0AE4EEA9" w14:textId="77777777" w:rsidTr="00C42096">
        <w:trPr>
          <w:trHeight w:val="20"/>
          <w:jc w:val="center"/>
        </w:trPr>
        <w:tc>
          <w:tcPr>
            <w:tcW w:w="538" w:type="pct"/>
            <w:vMerge/>
            <w:vAlign w:val="center"/>
          </w:tcPr>
          <w:p w14:paraId="552B06BD"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000000" w:fill="FFFFFF"/>
            <w:noWrap/>
            <w:vAlign w:val="center"/>
          </w:tcPr>
          <w:p w14:paraId="6EAE59AC"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noWrap/>
            <w:vAlign w:val="center"/>
          </w:tcPr>
          <w:p w14:paraId="31B3139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3.6%</w:t>
            </w:r>
          </w:p>
        </w:tc>
        <w:tc>
          <w:tcPr>
            <w:tcW w:w="654" w:type="pct"/>
            <w:noWrap/>
            <w:vAlign w:val="center"/>
          </w:tcPr>
          <w:p w14:paraId="3E038EA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5.1%</w:t>
            </w:r>
          </w:p>
        </w:tc>
        <w:tc>
          <w:tcPr>
            <w:tcW w:w="654" w:type="pct"/>
            <w:noWrap/>
            <w:vAlign w:val="center"/>
          </w:tcPr>
          <w:p w14:paraId="29846DB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6.3%</w:t>
            </w:r>
          </w:p>
        </w:tc>
        <w:tc>
          <w:tcPr>
            <w:tcW w:w="654" w:type="pct"/>
            <w:noWrap/>
            <w:vAlign w:val="center"/>
          </w:tcPr>
          <w:p w14:paraId="5872DA0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7.4%</w:t>
            </w:r>
          </w:p>
        </w:tc>
        <w:tc>
          <w:tcPr>
            <w:tcW w:w="654" w:type="pct"/>
            <w:shd w:val="clear" w:color="000000" w:fill="FFFFFF"/>
            <w:noWrap/>
            <w:vAlign w:val="center"/>
          </w:tcPr>
          <w:p w14:paraId="49232DB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7.7%</w:t>
            </w:r>
          </w:p>
        </w:tc>
        <w:tc>
          <w:tcPr>
            <w:tcW w:w="654" w:type="pct"/>
            <w:shd w:val="clear" w:color="000000" w:fill="FFFFFF"/>
            <w:vAlign w:val="center"/>
          </w:tcPr>
          <w:p w14:paraId="659E746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7.8%</w:t>
            </w:r>
          </w:p>
        </w:tc>
      </w:tr>
      <w:tr w:rsidR="00BC7922" w:rsidRPr="003C13ED" w14:paraId="5DA55266" w14:textId="77777777" w:rsidTr="00C42096">
        <w:trPr>
          <w:trHeight w:val="20"/>
          <w:jc w:val="center"/>
        </w:trPr>
        <w:tc>
          <w:tcPr>
            <w:tcW w:w="538" w:type="pct"/>
            <w:vMerge w:val="restart"/>
            <w:shd w:val="clear" w:color="auto" w:fill="F2F2F2" w:themeFill="background1" w:themeFillShade="F2"/>
            <w:vAlign w:val="center"/>
            <w:hideMark/>
          </w:tcPr>
          <w:p w14:paraId="0BA48F4E"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2016</w:t>
            </w:r>
          </w:p>
        </w:tc>
        <w:tc>
          <w:tcPr>
            <w:tcW w:w="538" w:type="pct"/>
            <w:vMerge w:val="restart"/>
            <w:shd w:val="clear" w:color="auto" w:fill="F2F2F2" w:themeFill="background1" w:themeFillShade="F2"/>
            <w:noWrap/>
            <w:vAlign w:val="center"/>
            <w:hideMark/>
          </w:tcPr>
          <w:p w14:paraId="431A68DF"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7229</w:t>
            </w:r>
          </w:p>
        </w:tc>
        <w:tc>
          <w:tcPr>
            <w:tcW w:w="654" w:type="pct"/>
            <w:shd w:val="clear" w:color="auto" w:fill="F2F2F2" w:themeFill="background1" w:themeFillShade="F2"/>
            <w:noWrap/>
            <w:vAlign w:val="center"/>
            <w:hideMark/>
          </w:tcPr>
          <w:p w14:paraId="6735FC1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314</w:t>
            </w:r>
          </w:p>
        </w:tc>
        <w:tc>
          <w:tcPr>
            <w:tcW w:w="654" w:type="pct"/>
            <w:shd w:val="clear" w:color="auto" w:fill="F2F2F2" w:themeFill="background1" w:themeFillShade="F2"/>
            <w:noWrap/>
            <w:vAlign w:val="center"/>
            <w:hideMark/>
          </w:tcPr>
          <w:p w14:paraId="1D13F5D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139</w:t>
            </w:r>
          </w:p>
        </w:tc>
        <w:tc>
          <w:tcPr>
            <w:tcW w:w="654" w:type="pct"/>
            <w:shd w:val="clear" w:color="auto" w:fill="F2F2F2" w:themeFill="background1" w:themeFillShade="F2"/>
            <w:noWrap/>
            <w:vAlign w:val="center"/>
            <w:hideMark/>
          </w:tcPr>
          <w:p w14:paraId="21CAEE8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104</w:t>
            </w:r>
          </w:p>
        </w:tc>
        <w:tc>
          <w:tcPr>
            <w:tcW w:w="654" w:type="pct"/>
            <w:shd w:val="clear" w:color="auto" w:fill="F2F2F2" w:themeFill="background1" w:themeFillShade="F2"/>
            <w:noWrap/>
            <w:vAlign w:val="center"/>
            <w:hideMark/>
          </w:tcPr>
          <w:p w14:paraId="012D9E7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54</w:t>
            </w:r>
          </w:p>
        </w:tc>
        <w:tc>
          <w:tcPr>
            <w:tcW w:w="654" w:type="pct"/>
            <w:shd w:val="clear" w:color="auto" w:fill="F2F2F2" w:themeFill="background1" w:themeFillShade="F2"/>
            <w:noWrap/>
            <w:vAlign w:val="center"/>
            <w:hideMark/>
          </w:tcPr>
          <w:p w14:paraId="4E24100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15</w:t>
            </w:r>
          </w:p>
        </w:tc>
        <w:tc>
          <w:tcPr>
            <w:tcW w:w="654" w:type="pct"/>
            <w:shd w:val="clear" w:color="auto" w:fill="F2F2F2" w:themeFill="background1" w:themeFillShade="F2"/>
            <w:noWrap/>
            <w:vAlign w:val="center"/>
            <w:hideMark/>
          </w:tcPr>
          <w:p w14:paraId="588767C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8</w:t>
            </w:r>
          </w:p>
        </w:tc>
      </w:tr>
      <w:tr w:rsidR="00BC7922" w:rsidRPr="003C13ED" w14:paraId="30D34B11" w14:textId="77777777" w:rsidTr="00C42096">
        <w:trPr>
          <w:trHeight w:val="20"/>
          <w:jc w:val="center"/>
        </w:trPr>
        <w:tc>
          <w:tcPr>
            <w:tcW w:w="538" w:type="pct"/>
            <w:vMerge/>
            <w:shd w:val="clear" w:color="auto" w:fill="F2F2F2" w:themeFill="background1" w:themeFillShade="F2"/>
            <w:vAlign w:val="center"/>
          </w:tcPr>
          <w:p w14:paraId="2A56FEB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66770015"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7E4B0FA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4.3%</w:t>
            </w:r>
          </w:p>
        </w:tc>
        <w:tc>
          <w:tcPr>
            <w:tcW w:w="654" w:type="pct"/>
            <w:shd w:val="clear" w:color="auto" w:fill="F2F2F2" w:themeFill="background1" w:themeFillShade="F2"/>
            <w:noWrap/>
            <w:vAlign w:val="center"/>
          </w:tcPr>
          <w:p w14:paraId="20A4545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6.3%</w:t>
            </w:r>
          </w:p>
        </w:tc>
        <w:tc>
          <w:tcPr>
            <w:tcW w:w="654" w:type="pct"/>
            <w:shd w:val="clear" w:color="auto" w:fill="F2F2F2" w:themeFill="background1" w:themeFillShade="F2"/>
            <w:noWrap/>
            <w:vAlign w:val="center"/>
          </w:tcPr>
          <w:p w14:paraId="5B4412A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7.7%</w:t>
            </w:r>
          </w:p>
        </w:tc>
        <w:tc>
          <w:tcPr>
            <w:tcW w:w="654" w:type="pct"/>
            <w:shd w:val="clear" w:color="auto" w:fill="F2F2F2" w:themeFill="background1" w:themeFillShade="F2"/>
            <w:noWrap/>
            <w:vAlign w:val="center"/>
          </w:tcPr>
          <w:p w14:paraId="5D8B647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8.5%</w:t>
            </w:r>
          </w:p>
        </w:tc>
        <w:tc>
          <w:tcPr>
            <w:tcW w:w="654" w:type="pct"/>
            <w:shd w:val="clear" w:color="auto" w:fill="F2F2F2" w:themeFill="background1" w:themeFillShade="F2"/>
            <w:noWrap/>
            <w:vAlign w:val="center"/>
          </w:tcPr>
          <w:p w14:paraId="479AB32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8.7%</w:t>
            </w:r>
          </w:p>
        </w:tc>
        <w:tc>
          <w:tcPr>
            <w:tcW w:w="654" w:type="pct"/>
            <w:shd w:val="clear" w:color="auto" w:fill="F2F2F2" w:themeFill="background1" w:themeFillShade="F2"/>
            <w:noWrap/>
            <w:vAlign w:val="center"/>
          </w:tcPr>
          <w:p w14:paraId="14D7AB4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hAnsi="Franklin Gothic Book" w:cs="Calibri"/>
                <w:color w:val="000000"/>
                <w:sz w:val="20"/>
                <w:szCs w:val="20"/>
              </w:rPr>
              <w:t>8.8%</w:t>
            </w:r>
          </w:p>
        </w:tc>
      </w:tr>
      <w:tr w:rsidR="00BC7922" w:rsidRPr="003C13ED" w14:paraId="4BA62B0F" w14:textId="77777777" w:rsidTr="00C42096">
        <w:trPr>
          <w:trHeight w:val="20"/>
          <w:jc w:val="center"/>
        </w:trPr>
        <w:tc>
          <w:tcPr>
            <w:tcW w:w="538" w:type="pct"/>
            <w:vMerge w:val="restart"/>
            <w:vAlign w:val="center"/>
            <w:hideMark/>
          </w:tcPr>
          <w:p w14:paraId="34F39774"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2017</w:t>
            </w:r>
          </w:p>
        </w:tc>
        <w:tc>
          <w:tcPr>
            <w:tcW w:w="538" w:type="pct"/>
            <w:vMerge w:val="restart"/>
            <w:shd w:val="clear" w:color="000000" w:fill="FFFFFF"/>
            <w:noWrap/>
            <w:vAlign w:val="center"/>
            <w:hideMark/>
          </w:tcPr>
          <w:p w14:paraId="0006138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7548</w:t>
            </w:r>
          </w:p>
        </w:tc>
        <w:tc>
          <w:tcPr>
            <w:tcW w:w="654" w:type="pct"/>
            <w:noWrap/>
            <w:vAlign w:val="center"/>
            <w:hideMark/>
          </w:tcPr>
          <w:p w14:paraId="042832C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420</w:t>
            </w:r>
          </w:p>
        </w:tc>
        <w:tc>
          <w:tcPr>
            <w:tcW w:w="654" w:type="pct"/>
            <w:noWrap/>
            <w:vAlign w:val="center"/>
            <w:hideMark/>
          </w:tcPr>
          <w:p w14:paraId="1531DFF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149</w:t>
            </w:r>
          </w:p>
        </w:tc>
        <w:tc>
          <w:tcPr>
            <w:tcW w:w="654" w:type="pct"/>
            <w:shd w:val="clear" w:color="000000" w:fill="FFFFFF"/>
            <w:noWrap/>
            <w:vAlign w:val="center"/>
            <w:hideMark/>
          </w:tcPr>
          <w:p w14:paraId="356A6AD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91</w:t>
            </w:r>
          </w:p>
        </w:tc>
        <w:tc>
          <w:tcPr>
            <w:tcW w:w="654" w:type="pct"/>
            <w:shd w:val="clear" w:color="000000" w:fill="FFFFFF"/>
            <w:noWrap/>
            <w:vAlign w:val="center"/>
            <w:hideMark/>
          </w:tcPr>
          <w:p w14:paraId="4E913C1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45</w:t>
            </w:r>
          </w:p>
        </w:tc>
        <w:tc>
          <w:tcPr>
            <w:tcW w:w="654" w:type="pct"/>
            <w:shd w:val="clear" w:color="000000" w:fill="FFFFFF"/>
            <w:noWrap/>
            <w:vAlign w:val="center"/>
            <w:hideMark/>
          </w:tcPr>
          <w:p w14:paraId="34BA6C3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25</w:t>
            </w:r>
          </w:p>
        </w:tc>
        <w:tc>
          <w:tcPr>
            <w:tcW w:w="654" w:type="pct"/>
            <w:vAlign w:val="center"/>
            <w:hideMark/>
          </w:tcPr>
          <w:p w14:paraId="6ED710A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13</w:t>
            </w:r>
          </w:p>
        </w:tc>
      </w:tr>
      <w:tr w:rsidR="00BC7922" w:rsidRPr="003C13ED" w14:paraId="38F9F50B" w14:textId="77777777" w:rsidTr="00C42096">
        <w:trPr>
          <w:trHeight w:val="20"/>
          <w:jc w:val="center"/>
        </w:trPr>
        <w:tc>
          <w:tcPr>
            <w:tcW w:w="538" w:type="pct"/>
            <w:vMerge/>
            <w:vAlign w:val="center"/>
          </w:tcPr>
          <w:p w14:paraId="40CEC361"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000000" w:fill="FFFFFF"/>
            <w:noWrap/>
            <w:vAlign w:val="center"/>
          </w:tcPr>
          <w:p w14:paraId="572A2D6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noWrap/>
            <w:vAlign w:val="center"/>
          </w:tcPr>
          <w:p w14:paraId="081D18C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5.6%</w:t>
            </w:r>
          </w:p>
        </w:tc>
        <w:tc>
          <w:tcPr>
            <w:tcW w:w="654" w:type="pct"/>
            <w:noWrap/>
            <w:vAlign w:val="center"/>
          </w:tcPr>
          <w:p w14:paraId="5F4D030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7.5%</w:t>
            </w:r>
          </w:p>
        </w:tc>
        <w:tc>
          <w:tcPr>
            <w:tcW w:w="654" w:type="pct"/>
            <w:shd w:val="clear" w:color="000000" w:fill="FFFFFF"/>
            <w:noWrap/>
            <w:vAlign w:val="center"/>
          </w:tcPr>
          <w:p w14:paraId="287B0BB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8.7%</w:t>
            </w:r>
          </w:p>
        </w:tc>
        <w:tc>
          <w:tcPr>
            <w:tcW w:w="654" w:type="pct"/>
            <w:shd w:val="clear" w:color="000000" w:fill="FFFFFF"/>
            <w:noWrap/>
            <w:vAlign w:val="center"/>
          </w:tcPr>
          <w:p w14:paraId="137D97A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9.3%</w:t>
            </w:r>
          </w:p>
        </w:tc>
        <w:tc>
          <w:tcPr>
            <w:tcW w:w="654" w:type="pct"/>
            <w:shd w:val="clear" w:color="000000" w:fill="FFFFFF"/>
            <w:noWrap/>
            <w:vAlign w:val="center"/>
          </w:tcPr>
          <w:p w14:paraId="54303E5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9.7%</w:t>
            </w:r>
          </w:p>
        </w:tc>
        <w:tc>
          <w:tcPr>
            <w:tcW w:w="654" w:type="pct"/>
            <w:vAlign w:val="center"/>
          </w:tcPr>
          <w:p w14:paraId="59D41A1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9.8%</w:t>
            </w:r>
          </w:p>
        </w:tc>
      </w:tr>
      <w:tr w:rsidR="00BC7922" w:rsidRPr="003C13ED" w14:paraId="46D85B4E" w14:textId="77777777" w:rsidTr="00C42096">
        <w:trPr>
          <w:trHeight w:val="20"/>
          <w:jc w:val="center"/>
        </w:trPr>
        <w:tc>
          <w:tcPr>
            <w:tcW w:w="538" w:type="pct"/>
            <w:vMerge w:val="restart"/>
            <w:shd w:val="clear" w:color="auto" w:fill="F2F2F2" w:themeFill="background1" w:themeFillShade="F2"/>
            <w:vAlign w:val="center"/>
            <w:hideMark/>
          </w:tcPr>
          <w:p w14:paraId="683A772B"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2018</w:t>
            </w:r>
          </w:p>
        </w:tc>
        <w:tc>
          <w:tcPr>
            <w:tcW w:w="538" w:type="pct"/>
            <w:vMerge w:val="restart"/>
            <w:shd w:val="clear" w:color="auto" w:fill="F2F2F2" w:themeFill="background1" w:themeFillShade="F2"/>
            <w:noWrap/>
            <w:vAlign w:val="center"/>
            <w:hideMark/>
          </w:tcPr>
          <w:p w14:paraId="25FA9419"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8328</w:t>
            </w:r>
          </w:p>
        </w:tc>
        <w:tc>
          <w:tcPr>
            <w:tcW w:w="654" w:type="pct"/>
            <w:shd w:val="clear" w:color="auto" w:fill="F2F2F2" w:themeFill="background1" w:themeFillShade="F2"/>
            <w:noWrap/>
            <w:vAlign w:val="center"/>
            <w:hideMark/>
          </w:tcPr>
          <w:p w14:paraId="1910570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565</w:t>
            </w:r>
          </w:p>
        </w:tc>
        <w:tc>
          <w:tcPr>
            <w:tcW w:w="654" w:type="pct"/>
            <w:shd w:val="clear" w:color="auto" w:fill="F2F2F2" w:themeFill="background1" w:themeFillShade="F2"/>
            <w:noWrap/>
            <w:vAlign w:val="center"/>
            <w:hideMark/>
          </w:tcPr>
          <w:p w14:paraId="22E685A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199</w:t>
            </w:r>
          </w:p>
        </w:tc>
        <w:tc>
          <w:tcPr>
            <w:tcW w:w="654" w:type="pct"/>
            <w:shd w:val="clear" w:color="auto" w:fill="F2F2F2" w:themeFill="background1" w:themeFillShade="F2"/>
            <w:noWrap/>
            <w:vAlign w:val="center"/>
            <w:hideMark/>
          </w:tcPr>
          <w:p w14:paraId="00A110D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66</w:t>
            </w:r>
          </w:p>
        </w:tc>
        <w:tc>
          <w:tcPr>
            <w:tcW w:w="654" w:type="pct"/>
            <w:shd w:val="clear" w:color="auto" w:fill="F2F2F2" w:themeFill="background1" w:themeFillShade="F2"/>
            <w:noWrap/>
            <w:vAlign w:val="center"/>
            <w:hideMark/>
          </w:tcPr>
          <w:p w14:paraId="3E0EAC3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82</w:t>
            </w:r>
          </w:p>
        </w:tc>
        <w:tc>
          <w:tcPr>
            <w:tcW w:w="654" w:type="pct"/>
            <w:shd w:val="clear" w:color="auto" w:fill="F2F2F2" w:themeFill="background1" w:themeFillShade="F2"/>
            <w:noWrap/>
            <w:vAlign w:val="center"/>
            <w:hideMark/>
          </w:tcPr>
          <w:p w14:paraId="53F0A93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24</w:t>
            </w:r>
          </w:p>
        </w:tc>
        <w:tc>
          <w:tcPr>
            <w:tcW w:w="654" w:type="pct"/>
            <w:shd w:val="clear" w:color="auto" w:fill="F2F2F2" w:themeFill="background1" w:themeFillShade="F2"/>
            <w:vAlign w:val="center"/>
            <w:hideMark/>
          </w:tcPr>
          <w:p w14:paraId="5298B15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5</w:t>
            </w:r>
          </w:p>
        </w:tc>
      </w:tr>
      <w:tr w:rsidR="00BC7922" w:rsidRPr="003C13ED" w14:paraId="09094C6F" w14:textId="77777777" w:rsidTr="00C42096">
        <w:trPr>
          <w:trHeight w:val="20"/>
          <w:jc w:val="center"/>
        </w:trPr>
        <w:tc>
          <w:tcPr>
            <w:tcW w:w="538" w:type="pct"/>
            <w:vMerge/>
            <w:shd w:val="clear" w:color="auto" w:fill="F2F2F2" w:themeFill="background1" w:themeFillShade="F2"/>
            <w:vAlign w:val="center"/>
          </w:tcPr>
          <w:p w14:paraId="75338D1C"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55B959D7"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42B871E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6.8%</w:t>
            </w:r>
          </w:p>
        </w:tc>
        <w:tc>
          <w:tcPr>
            <w:tcW w:w="654" w:type="pct"/>
            <w:shd w:val="clear" w:color="auto" w:fill="F2F2F2" w:themeFill="background1" w:themeFillShade="F2"/>
            <w:noWrap/>
            <w:vAlign w:val="center"/>
          </w:tcPr>
          <w:p w14:paraId="38F5D0B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9.2%</w:t>
            </w:r>
          </w:p>
        </w:tc>
        <w:tc>
          <w:tcPr>
            <w:tcW w:w="654" w:type="pct"/>
            <w:shd w:val="clear" w:color="auto" w:fill="F2F2F2" w:themeFill="background1" w:themeFillShade="F2"/>
            <w:noWrap/>
            <w:vAlign w:val="center"/>
          </w:tcPr>
          <w:p w14:paraId="49546EE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10.0%</w:t>
            </w:r>
          </w:p>
        </w:tc>
        <w:tc>
          <w:tcPr>
            <w:tcW w:w="654" w:type="pct"/>
            <w:shd w:val="clear" w:color="auto" w:fill="F2F2F2" w:themeFill="background1" w:themeFillShade="F2"/>
            <w:noWrap/>
            <w:vAlign w:val="center"/>
          </w:tcPr>
          <w:p w14:paraId="47300BE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11.0%</w:t>
            </w:r>
          </w:p>
        </w:tc>
        <w:tc>
          <w:tcPr>
            <w:tcW w:w="654" w:type="pct"/>
            <w:shd w:val="clear" w:color="auto" w:fill="F2F2F2" w:themeFill="background1" w:themeFillShade="F2"/>
            <w:noWrap/>
            <w:vAlign w:val="center"/>
          </w:tcPr>
          <w:p w14:paraId="19468C2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11.2%</w:t>
            </w:r>
          </w:p>
        </w:tc>
        <w:tc>
          <w:tcPr>
            <w:tcW w:w="654" w:type="pct"/>
            <w:shd w:val="clear" w:color="auto" w:fill="F2F2F2" w:themeFill="background1" w:themeFillShade="F2"/>
            <w:vAlign w:val="center"/>
          </w:tcPr>
          <w:p w14:paraId="427B236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11.2%</w:t>
            </w:r>
          </w:p>
        </w:tc>
      </w:tr>
      <w:tr w:rsidR="00BC7922" w:rsidRPr="003C13ED" w14:paraId="41E0AFEB" w14:textId="77777777" w:rsidTr="00C42096">
        <w:trPr>
          <w:trHeight w:val="20"/>
          <w:jc w:val="center"/>
        </w:trPr>
        <w:tc>
          <w:tcPr>
            <w:tcW w:w="538" w:type="pct"/>
            <w:vMerge w:val="restart"/>
            <w:shd w:val="clear" w:color="000000" w:fill="FFFFFF"/>
            <w:vAlign w:val="center"/>
            <w:hideMark/>
          </w:tcPr>
          <w:p w14:paraId="44C5EC08"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2019</w:t>
            </w:r>
          </w:p>
        </w:tc>
        <w:tc>
          <w:tcPr>
            <w:tcW w:w="538" w:type="pct"/>
            <w:vMerge w:val="restart"/>
            <w:shd w:val="clear" w:color="000000" w:fill="FFFFFF"/>
            <w:noWrap/>
            <w:vAlign w:val="center"/>
            <w:hideMark/>
          </w:tcPr>
          <w:p w14:paraId="77FCC119"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8011</w:t>
            </w:r>
          </w:p>
        </w:tc>
        <w:tc>
          <w:tcPr>
            <w:tcW w:w="654" w:type="pct"/>
            <w:shd w:val="clear" w:color="000000" w:fill="FFFFFF"/>
            <w:noWrap/>
            <w:vAlign w:val="center"/>
            <w:hideMark/>
          </w:tcPr>
          <w:p w14:paraId="3688E64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499</w:t>
            </w:r>
          </w:p>
        </w:tc>
        <w:tc>
          <w:tcPr>
            <w:tcW w:w="654" w:type="pct"/>
            <w:shd w:val="clear" w:color="000000" w:fill="FFFFFF"/>
            <w:noWrap/>
            <w:vAlign w:val="center"/>
            <w:hideMark/>
          </w:tcPr>
          <w:p w14:paraId="3CF5FCF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100</w:t>
            </w:r>
          </w:p>
        </w:tc>
        <w:tc>
          <w:tcPr>
            <w:tcW w:w="654" w:type="pct"/>
            <w:shd w:val="clear" w:color="000000" w:fill="FFFFFF"/>
            <w:noWrap/>
            <w:vAlign w:val="center"/>
            <w:hideMark/>
          </w:tcPr>
          <w:p w14:paraId="43F76AA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135</w:t>
            </w:r>
          </w:p>
        </w:tc>
        <w:tc>
          <w:tcPr>
            <w:tcW w:w="654" w:type="pct"/>
            <w:noWrap/>
            <w:vAlign w:val="center"/>
            <w:hideMark/>
          </w:tcPr>
          <w:p w14:paraId="05C33BF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80</w:t>
            </w:r>
          </w:p>
        </w:tc>
        <w:tc>
          <w:tcPr>
            <w:tcW w:w="654" w:type="pct"/>
            <w:shd w:val="clear" w:color="auto" w:fill="FFFFFF" w:themeFill="background1"/>
            <w:noWrap/>
            <w:vAlign w:val="center"/>
            <w:hideMark/>
          </w:tcPr>
          <w:p w14:paraId="2DE1696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26</w:t>
            </w:r>
          </w:p>
        </w:tc>
        <w:tc>
          <w:tcPr>
            <w:tcW w:w="654" w:type="pct"/>
            <w:shd w:val="clear" w:color="auto" w:fill="FFFFFF" w:themeFill="background1"/>
            <w:vAlign w:val="center"/>
            <w:hideMark/>
          </w:tcPr>
          <w:p w14:paraId="3B94432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w:t>
            </w:r>
          </w:p>
        </w:tc>
      </w:tr>
      <w:tr w:rsidR="00BC7922" w:rsidRPr="003C13ED" w14:paraId="72A4F37B" w14:textId="77777777" w:rsidTr="00C42096">
        <w:trPr>
          <w:trHeight w:val="20"/>
          <w:jc w:val="center"/>
        </w:trPr>
        <w:tc>
          <w:tcPr>
            <w:tcW w:w="538" w:type="pct"/>
            <w:vMerge/>
            <w:shd w:val="clear" w:color="000000" w:fill="FFFFFF"/>
            <w:vAlign w:val="center"/>
          </w:tcPr>
          <w:p w14:paraId="63C99D2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000000" w:fill="FFFFFF"/>
            <w:noWrap/>
            <w:vAlign w:val="center"/>
          </w:tcPr>
          <w:p w14:paraId="489F4972"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000000" w:fill="FFFFFF"/>
            <w:noWrap/>
            <w:vAlign w:val="center"/>
          </w:tcPr>
          <w:p w14:paraId="21D1778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6.2%</w:t>
            </w:r>
          </w:p>
        </w:tc>
        <w:tc>
          <w:tcPr>
            <w:tcW w:w="654" w:type="pct"/>
            <w:shd w:val="clear" w:color="000000" w:fill="FFFFFF"/>
            <w:noWrap/>
            <w:vAlign w:val="center"/>
          </w:tcPr>
          <w:p w14:paraId="7BE42D9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7.5%</w:t>
            </w:r>
          </w:p>
        </w:tc>
        <w:tc>
          <w:tcPr>
            <w:tcW w:w="654" w:type="pct"/>
            <w:shd w:val="clear" w:color="000000" w:fill="FFFFFF"/>
            <w:noWrap/>
            <w:vAlign w:val="center"/>
          </w:tcPr>
          <w:p w14:paraId="7BB6041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9.2%</w:t>
            </w:r>
          </w:p>
        </w:tc>
        <w:tc>
          <w:tcPr>
            <w:tcW w:w="654" w:type="pct"/>
            <w:noWrap/>
            <w:vAlign w:val="center"/>
          </w:tcPr>
          <w:p w14:paraId="10C811D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10.2%</w:t>
            </w:r>
          </w:p>
        </w:tc>
        <w:tc>
          <w:tcPr>
            <w:tcW w:w="654" w:type="pct"/>
            <w:shd w:val="clear" w:color="auto" w:fill="FFFFFF" w:themeFill="background1"/>
            <w:noWrap/>
            <w:vAlign w:val="center"/>
          </w:tcPr>
          <w:p w14:paraId="666242F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10.5%</w:t>
            </w:r>
          </w:p>
        </w:tc>
        <w:tc>
          <w:tcPr>
            <w:tcW w:w="654" w:type="pct"/>
            <w:shd w:val="clear" w:color="auto" w:fill="FFFFFF" w:themeFill="background1"/>
            <w:vAlign w:val="center"/>
          </w:tcPr>
          <w:p w14:paraId="62AF1AD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10.6%</w:t>
            </w:r>
          </w:p>
        </w:tc>
      </w:tr>
      <w:tr w:rsidR="00BC7922" w:rsidRPr="003C13ED" w14:paraId="673740FC" w14:textId="77777777" w:rsidTr="00C42096">
        <w:trPr>
          <w:trHeight w:val="20"/>
          <w:jc w:val="center"/>
        </w:trPr>
        <w:tc>
          <w:tcPr>
            <w:tcW w:w="538" w:type="pct"/>
            <w:vMerge w:val="restart"/>
            <w:shd w:val="clear" w:color="auto" w:fill="F2F2F2" w:themeFill="background1" w:themeFillShade="F2"/>
            <w:vAlign w:val="center"/>
            <w:hideMark/>
          </w:tcPr>
          <w:p w14:paraId="3D1DA5ED"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2020</w:t>
            </w:r>
          </w:p>
        </w:tc>
        <w:tc>
          <w:tcPr>
            <w:tcW w:w="538" w:type="pct"/>
            <w:vMerge w:val="restart"/>
            <w:shd w:val="clear" w:color="auto" w:fill="F2F2F2" w:themeFill="background1" w:themeFillShade="F2"/>
            <w:noWrap/>
            <w:vAlign w:val="center"/>
            <w:hideMark/>
          </w:tcPr>
          <w:p w14:paraId="357352D5"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8778</w:t>
            </w:r>
          </w:p>
        </w:tc>
        <w:tc>
          <w:tcPr>
            <w:tcW w:w="654" w:type="pct"/>
            <w:shd w:val="clear" w:color="auto" w:fill="F2F2F2" w:themeFill="background1" w:themeFillShade="F2"/>
            <w:noWrap/>
            <w:vAlign w:val="center"/>
            <w:hideMark/>
          </w:tcPr>
          <w:p w14:paraId="243D982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414</w:t>
            </w:r>
          </w:p>
        </w:tc>
        <w:tc>
          <w:tcPr>
            <w:tcW w:w="654" w:type="pct"/>
            <w:shd w:val="clear" w:color="auto" w:fill="F2F2F2" w:themeFill="background1" w:themeFillShade="F2"/>
            <w:noWrap/>
            <w:vAlign w:val="center"/>
            <w:hideMark/>
          </w:tcPr>
          <w:p w14:paraId="6A0239A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238</w:t>
            </w:r>
          </w:p>
        </w:tc>
        <w:tc>
          <w:tcPr>
            <w:tcW w:w="654" w:type="pct"/>
            <w:shd w:val="clear" w:color="auto" w:fill="F2F2F2" w:themeFill="background1" w:themeFillShade="F2"/>
            <w:noWrap/>
            <w:vAlign w:val="center"/>
            <w:hideMark/>
          </w:tcPr>
          <w:p w14:paraId="726990D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147</w:t>
            </w:r>
          </w:p>
        </w:tc>
        <w:tc>
          <w:tcPr>
            <w:tcW w:w="654" w:type="pct"/>
            <w:shd w:val="clear" w:color="auto" w:fill="F2F2F2" w:themeFill="background1" w:themeFillShade="F2"/>
            <w:noWrap/>
            <w:vAlign w:val="center"/>
            <w:hideMark/>
          </w:tcPr>
          <w:p w14:paraId="56E60FD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109</w:t>
            </w:r>
          </w:p>
        </w:tc>
        <w:tc>
          <w:tcPr>
            <w:tcW w:w="654" w:type="pct"/>
            <w:shd w:val="clear" w:color="auto" w:fill="F2F2F2" w:themeFill="background1" w:themeFillShade="F2"/>
            <w:noWrap/>
            <w:vAlign w:val="center"/>
            <w:hideMark/>
          </w:tcPr>
          <w:p w14:paraId="52F9E06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21</w:t>
            </w:r>
          </w:p>
        </w:tc>
        <w:tc>
          <w:tcPr>
            <w:tcW w:w="654" w:type="pct"/>
            <w:shd w:val="clear" w:color="000000" w:fill="000000"/>
            <w:vAlign w:val="center"/>
            <w:hideMark/>
          </w:tcPr>
          <w:p w14:paraId="5722A59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2CE0539B" w14:textId="77777777" w:rsidTr="00C42096">
        <w:trPr>
          <w:trHeight w:val="20"/>
          <w:jc w:val="center"/>
        </w:trPr>
        <w:tc>
          <w:tcPr>
            <w:tcW w:w="538" w:type="pct"/>
            <w:vMerge/>
            <w:shd w:val="clear" w:color="auto" w:fill="F2F2F2" w:themeFill="background1" w:themeFillShade="F2"/>
            <w:vAlign w:val="center"/>
          </w:tcPr>
          <w:p w14:paraId="4DC4E70D"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15E0BFF5"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6A30D27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4.7%</w:t>
            </w:r>
          </w:p>
        </w:tc>
        <w:tc>
          <w:tcPr>
            <w:tcW w:w="654" w:type="pct"/>
            <w:shd w:val="clear" w:color="auto" w:fill="F2F2F2" w:themeFill="background1" w:themeFillShade="F2"/>
            <w:noWrap/>
            <w:vAlign w:val="center"/>
          </w:tcPr>
          <w:p w14:paraId="6E0850B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7.4%</w:t>
            </w:r>
          </w:p>
        </w:tc>
        <w:tc>
          <w:tcPr>
            <w:tcW w:w="654" w:type="pct"/>
            <w:shd w:val="clear" w:color="auto" w:fill="F2F2F2" w:themeFill="background1" w:themeFillShade="F2"/>
            <w:noWrap/>
            <w:vAlign w:val="center"/>
          </w:tcPr>
          <w:p w14:paraId="500C681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9.1%</w:t>
            </w:r>
          </w:p>
        </w:tc>
        <w:tc>
          <w:tcPr>
            <w:tcW w:w="654" w:type="pct"/>
            <w:shd w:val="clear" w:color="auto" w:fill="F2F2F2" w:themeFill="background1" w:themeFillShade="F2"/>
            <w:noWrap/>
            <w:vAlign w:val="center"/>
          </w:tcPr>
          <w:p w14:paraId="0703549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10.3%</w:t>
            </w:r>
          </w:p>
        </w:tc>
        <w:tc>
          <w:tcPr>
            <w:tcW w:w="654" w:type="pct"/>
            <w:shd w:val="clear" w:color="auto" w:fill="F2F2F2" w:themeFill="background1" w:themeFillShade="F2"/>
            <w:noWrap/>
            <w:vAlign w:val="center"/>
          </w:tcPr>
          <w:p w14:paraId="25D0EAD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10.6%</w:t>
            </w:r>
          </w:p>
        </w:tc>
        <w:tc>
          <w:tcPr>
            <w:tcW w:w="654" w:type="pct"/>
            <w:shd w:val="clear" w:color="000000" w:fill="000000"/>
            <w:vAlign w:val="center"/>
          </w:tcPr>
          <w:p w14:paraId="5ACE069B"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4F665BF2" w14:textId="77777777" w:rsidTr="00C42096">
        <w:trPr>
          <w:trHeight w:val="20"/>
          <w:jc w:val="center"/>
        </w:trPr>
        <w:tc>
          <w:tcPr>
            <w:tcW w:w="538" w:type="pct"/>
            <w:vMerge w:val="restart"/>
            <w:shd w:val="clear" w:color="auto" w:fill="FFFFFF" w:themeFill="background1"/>
            <w:vAlign w:val="center"/>
            <w:hideMark/>
          </w:tcPr>
          <w:p w14:paraId="34F43F58"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2021</w:t>
            </w:r>
          </w:p>
        </w:tc>
        <w:tc>
          <w:tcPr>
            <w:tcW w:w="538" w:type="pct"/>
            <w:vMerge w:val="restart"/>
            <w:shd w:val="clear" w:color="auto" w:fill="FFFFFF" w:themeFill="background1"/>
            <w:noWrap/>
            <w:vAlign w:val="center"/>
            <w:hideMark/>
          </w:tcPr>
          <w:p w14:paraId="192EEB3D"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10142</w:t>
            </w:r>
          </w:p>
        </w:tc>
        <w:tc>
          <w:tcPr>
            <w:tcW w:w="654" w:type="pct"/>
            <w:shd w:val="clear" w:color="auto" w:fill="FFFFFF" w:themeFill="background1"/>
            <w:noWrap/>
            <w:vAlign w:val="center"/>
            <w:hideMark/>
          </w:tcPr>
          <w:p w14:paraId="3803359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685</w:t>
            </w:r>
          </w:p>
        </w:tc>
        <w:tc>
          <w:tcPr>
            <w:tcW w:w="654" w:type="pct"/>
            <w:shd w:val="clear" w:color="auto" w:fill="FFFFFF" w:themeFill="background1"/>
            <w:noWrap/>
            <w:vAlign w:val="center"/>
            <w:hideMark/>
          </w:tcPr>
          <w:p w14:paraId="6E2B9EB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254</w:t>
            </w:r>
          </w:p>
        </w:tc>
        <w:tc>
          <w:tcPr>
            <w:tcW w:w="654" w:type="pct"/>
            <w:shd w:val="clear" w:color="auto" w:fill="FFFFFF" w:themeFill="background1"/>
            <w:noWrap/>
            <w:vAlign w:val="center"/>
            <w:hideMark/>
          </w:tcPr>
          <w:p w14:paraId="1A73FF6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191</w:t>
            </w:r>
          </w:p>
        </w:tc>
        <w:tc>
          <w:tcPr>
            <w:tcW w:w="654" w:type="pct"/>
            <w:shd w:val="clear" w:color="auto" w:fill="FFFFFF" w:themeFill="background1"/>
            <w:noWrap/>
            <w:vAlign w:val="center"/>
            <w:hideMark/>
          </w:tcPr>
          <w:p w14:paraId="6F19420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119</w:t>
            </w:r>
          </w:p>
        </w:tc>
        <w:tc>
          <w:tcPr>
            <w:tcW w:w="654" w:type="pct"/>
            <w:shd w:val="clear" w:color="000000" w:fill="000000"/>
            <w:noWrap/>
            <w:vAlign w:val="center"/>
            <w:hideMark/>
          </w:tcPr>
          <w:p w14:paraId="3706977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hideMark/>
          </w:tcPr>
          <w:p w14:paraId="12EDFF4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7083C7D3" w14:textId="77777777" w:rsidTr="00C42096">
        <w:trPr>
          <w:trHeight w:val="20"/>
          <w:jc w:val="center"/>
        </w:trPr>
        <w:tc>
          <w:tcPr>
            <w:tcW w:w="538" w:type="pct"/>
            <w:vMerge/>
            <w:shd w:val="clear" w:color="auto" w:fill="FFFFFF" w:themeFill="background1"/>
            <w:vAlign w:val="center"/>
          </w:tcPr>
          <w:p w14:paraId="24E22C01"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FFFFF" w:themeFill="background1"/>
            <w:noWrap/>
            <w:vAlign w:val="center"/>
          </w:tcPr>
          <w:p w14:paraId="13BEFB15"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FFFFF" w:themeFill="background1"/>
            <w:noWrap/>
            <w:vAlign w:val="center"/>
          </w:tcPr>
          <w:p w14:paraId="20B30A8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6.8%</w:t>
            </w:r>
          </w:p>
        </w:tc>
        <w:tc>
          <w:tcPr>
            <w:tcW w:w="654" w:type="pct"/>
            <w:shd w:val="clear" w:color="auto" w:fill="FFFFFF" w:themeFill="background1"/>
            <w:noWrap/>
            <w:vAlign w:val="center"/>
          </w:tcPr>
          <w:p w14:paraId="0FA6C15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9.3%</w:t>
            </w:r>
          </w:p>
        </w:tc>
        <w:tc>
          <w:tcPr>
            <w:tcW w:w="654" w:type="pct"/>
            <w:shd w:val="clear" w:color="auto" w:fill="FFFFFF" w:themeFill="background1"/>
            <w:noWrap/>
            <w:vAlign w:val="center"/>
          </w:tcPr>
          <w:p w14:paraId="0B54159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11.1%</w:t>
            </w:r>
          </w:p>
        </w:tc>
        <w:tc>
          <w:tcPr>
            <w:tcW w:w="654" w:type="pct"/>
            <w:shd w:val="clear" w:color="auto" w:fill="FFFFFF" w:themeFill="background1"/>
            <w:noWrap/>
            <w:vAlign w:val="center"/>
          </w:tcPr>
          <w:p w14:paraId="33CC829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12.3%</w:t>
            </w:r>
          </w:p>
        </w:tc>
        <w:tc>
          <w:tcPr>
            <w:tcW w:w="654" w:type="pct"/>
            <w:shd w:val="clear" w:color="000000" w:fill="000000"/>
            <w:noWrap/>
            <w:vAlign w:val="center"/>
          </w:tcPr>
          <w:p w14:paraId="47BBB58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0730A70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2446EAAD" w14:textId="77777777" w:rsidTr="00C42096">
        <w:trPr>
          <w:trHeight w:val="20"/>
          <w:jc w:val="center"/>
        </w:trPr>
        <w:tc>
          <w:tcPr>
            <w:tcW w:w="538" w:type="pct"/>
            <w:vMerge w:val="restart"/>
            <w:shd w:val="clear" w:color="auto" w:fill="F2F2F2" w:themeFill="background1" w:themeFillShade="F2"/>
            <w:vAlign w:val="center"/>
          </w:tcPr>
          <w:p w14:paraId="0A95CA2A"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2022</w:t>
            </w:r>
          </w:p>
        </w:tc>
        <w:tc>
          <w:tcPr>
            <w:tcW w:w="538" w:type="pct"/>
            <w:vMerge w:val="restart"/>
            <w:shd w:val="clear" w:color="auto" w:fill="F2F2F2" w:themeFill="background1" w:themeFillShade="F2"/>
            <w:noWrap/>
            <w:vAlign w:val="center"/>
          </w:tcPr>
          <w:p w14:paraId="2F795EF0"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9275</w:t>
            </w:r>
          </w:p>
        </w:tc>
        <w:tc>
          <w:tcPr>
            <w:tcW w:w="654" w:type="pct"/>
            <w:shd w:val="clear" w:color="auto" w:fill="F2F2F2" w:themeFill="background1" w:themeFillShade="F2"/>
            <w:noWrap/>
            <w:vAlign w:val="center"/>
          </w:tcPr>
          <w:p w14:paraId="5E3BE112"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728</w:t>
            </w:r>
          </w:p>
        </w:tc>
        <w:tc>
          <w:tcPr>
            <w:tcW w:w="654" w:type="pct"/>
            <w:shd w:val="clear" w:color="auto" w:fill="F2F2F2" w:themeFill="background1" w:themeFillShade="F2"/>
            <w:noWrap/>
            <w:vAlign w:val="center"/>
          </w:tcPr>
          <w:p w14:paraId="3A365F1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241</w:t>
            </w:r>
          </w:p>
        </w:tc>
        <w:tc>
          <w:tcPr>
            <w:tcW w:w="654" w:type="pct"/>
            <w:shd w:val="clear" w:color="auto" w:fill="F2F2F2" w:themeFill="background1" w:themeFillShade="F2"/>
            <w:noWrap/>
            <w:vAlign w:val="center"/>
          </w:tcPr>
          <w:p w14:paraId="52EB7A6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150</w:t>
            </w:r>
          </w:p>
        </w:tc>
        <w:tc>
          <w:tcPr>
            <w:tcW w:w="654" w:type="pct"/>
            <w:shd w:val="clear" w:color="000000" w:fill="000000"/>
            <w:noWrap/>
            <w:vAlign w:val="center"/>
          </w:tcPr>
          <w:p w14:paraId="2EC3BB5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25F64D4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750036E5"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01E4DF0C" w14:textId="77777777" w:rsidTr="00C42096">
        <w:trPr>
          <w:trHeight w:val="20"/>
          <w:jc w:val="center"/>
        </w:trPr>
        <w:tc>
          <w:tcPr>
            <w:tcW w:w="538" w:type="pct"/>
            <w:vMerge/>
            <w:shd w:val="clear" w:color="auto" w:fill="F2F2F2" w:themeFill="background1" w:themeFillShade="F2"/>
            <w:vAlign w:val="center"/>
          </w:tcPr>
          <w:p w14:paraId="4FA5AF83"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224B0511"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330E13C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w:t>
            </w:r>
          </w:p>
        </w:tc>
        <w:tc>
          <w:tcPr>
            <w:tcW w:w="654" w:type="pct"/>
            <w:shd w:val="clear" w:color="auto" w:fill="F2F2F2" w:themeFill="background1" w:themeFillShade="F2"/>
            <w:noWrap/>
            <w:vAlign w:val="center"/>
          </w:tcPr>
          <w:p w14:paraId="3E1A62E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10.5%</w:t>
            </w:r>
          </w:p>
        </w:tc>
        <w:tc>
          <w:tcPr>
            <w:tcW w:w="654" w:type="pct"/>
            <w:shd w:val="clear" w:color="auto" w:fill="F2F2F2" w:themeFill="background1" w:themeFillShade="F2"/>
            <w:noWrap/>
            <w:vAlign w:val="center"/>
          </w:tcPr>
          <w:p w14:paraId="15514A68"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12.1%</w:t>
            </w:r>
          </w:p>
        </w:tc>
        <w:tc>
          <w:tcPr>
            <w:tcW w:w="654" w:type="pct"/>
            <w:shd w:val="clear" w:color="000000" w:fill="000000"/>
            <w:noWrap/>
            <w:vAlign w:val="center"/>
          </w:tcPr>
          <w:p w14:paraId="6AA02F6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1E466D8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0EE4FDAF"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042BE722" w14:textId="77777777" w:rsidTr="00C42096">
        <w:trPr>
          <w:trHeight w:val="20"/>
          <w:jc w:val="center"/>
        </w:trPr>
        <w:tc>
          <w:tcPr>
            <w:tcW w:w="538" w:type="pct"/>
            <w:vMerge w:val="restart"/>
            <w:shd w:val="clear" w:color="auto" w:fill="FFFFFF" w:themeFill="background1"/>
            <w:vAlign w:val="center"/>
          </w:tcPr>
          <w:p w14:paraId="444D72E0"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2023</w:t>
            </w:r>
          </w:p>
        </w:tc>
        <w:tc>
          <w:tcPr>
            <w:tcW w:w="538" w:type="pct"/>
            <w:vMerge w:val="restart"/>
            <w:shd w:val="clear" w:color="auto" w:fill="FFFFFF" w:themeFill="background1"/>
            <w:noWrap/>
            <w:vAlign w:val="center"/>
          </w:tcPr>
          <w:p w14:paraId="6A3CD8F6"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9222</w:t>
            </w:r>
          </w:p>
        </w:tc>
        <w:tc>
          <w:tcPr>
            <w:tcW w:w="654" w:type="pct"/>
            <w:shd w:val="clear" w:color="auto" w:fill="FFFFFF" w:themeFill="background1"/>
            <w:noWrap/>
            <w:vAlign w:val="center"/>
          </w:tcPr>
          <w:p w14:paraId="3B5C413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832</w:t>
            </w:r>
          </w:p>
        </w:tc>
        <w:tc>
          <w:tcPr>
            <w:tcW w:w="654" w:type="pct"/>
            <w:shd w:val="clear" w:color="auto" w:fill="FFFFFF" w:themeFill="background1"/>
            <w:noWrap/>
            <w:vAlign w:val="center"/>
          </w:tcPr>
          <w:p w14:paraId="5D3DB6E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223</w:t>
            </w:r>
          </w:p>
        </w:tc>
        <w:tc>
          <w:tcPr>
            <w:tcW w:w="654" w:type="pct"/>
            <w:shd w:val="clear" w:color="000000" w:fill="000000"/>
            <w:noWrap/>
            <w:vAlign w:val="center"/>
          </w:tcPr>
          <w:p w14:paraId="239E044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0015C04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5D7F148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6F434E9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5CF6E803" w14:textId="77777777" w:rsidTr="00C42096">
        <w:trPr>
          <w:trHeight w:val="20"/>
          <w:jc w:val="center"/>
        </w:trPr>
        <w:tc>
          <w:tcPr>
            <w:tcW w:w="538" w:type="pct"/>
            <w:vMerge/>
            <w:shd w:val="clear" w:color="auto" w:fill="FFFFFF" w:themeFill="background1"/>
            <w:vAlign w:val="center"/>
          </w:tcPr>
          <w:p w14:paraId="234EADD7"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FFFFF" w:themeFill="background1"/>
            <w:noWrap/>
            <w:vAlign w:val="center"/>
          </w:tcPr>
          <w:p w14:paraId="1C6FC436"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FFFFF" w:themeFill="background1"/>
            <w:noWrap/>
            <w:vAlign w:val="center"/>
          </w:tcPr>
          <w:p w14:paraId="06C6FA7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9.0%</w:t>
            </w:r>
          </w:p>
        </w:tc>
        <w:tc>
          <w:tcPr>
            <w:tcW w:w="654" w:type="pct"/>
            <w:shd w:val="clear" w:color="auto" w:fill="FFFFFF" w:themeFill="background1"/>
            <w:noWrap/>
            <w:vAlign w:val="center"/>
          </w:tcPr>
          <w:p w14:paraId="1A82D56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11.4%</w:t>
            </w:r>
          </w:p>
        </w:tc>
        <w:tc>
          <w:tcPr>
            <w:tcW w:w="654" w:type="pct"/>
            <w:shd w:val="clear" w:color="000000" w:fill="000000"/>
            <w:noWrap/>
            <w:vAlign w:val="center"/>
          </w:tcPr>
          <w:p w14:paraId="2841E98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03A78A8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4D79106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38778A0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34848F3A" w14:textId="77777777" w:rsidTr="00C42096">
        <w:trPr>
          <w:trHeight w:val="20"/>
          <w:jc w:val="center"/>
        </w:trPr>
        <w:tc>
          <w:tcPr>
            <w:tcW w:w="538" w:type="pct"/>
            <w:vMerge w:val="restart"/>
            <w:shd w:val="clear" w:color="auto" w:fill="F2F2F2" w:themeFill="background1" w:themeFillShade="F2"/>
            <w:vAlign w:val="center"/>
          </w:tcPr>
          <w:p w14:paraId="072FA125"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lastRenderedPageBreak/>
              <w:t>2024</w:t>
            </w:r>
          </w:p>
        </w:tc>
        <w:tc>
          <w:tcPr>
            <w:tcW w:w="538" w:type="pct"/>
            <w:vMerge w:val="restart"/>
            <w:shd w:val="clear" w:color="auto" w:fill="F2F2F2" w:themeFill="background1" w:themeFillShade="F2"/>
            <w:noWrap/>
            <w:vAlign w:val="center"/>
          </w:tcPr>
          <w:p w14:paraId="4945CB0D"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r w:rsidRPr="003C13ED">
              <w:rPr>
                <w:rFonts w:ascii="Franklin Gothic Book" w:eastAsia="Times New Roman" w:hAnsi="Franklin Gothic Book" w:cs="Calibri"/>
                <w:b/>
                <w:bCs/>
                <w:color w:val="000000"/>
                <w:sz w:val="20"/>
                <w:szCs w:val="20"/>
              </w:rPr>
              <w:t>11289</w:t>
            </w:r>
          </w:p>
        </w:tc>
        <w:tc>
          <w:tcPr>
            <w:tcW w:w="654" w:type="pct"/>
            <w:shd w:val="clear" w:color="auto" w:fill="F2F2F2" w:themeFill="background1" w:themeFillShade="F2"/>
            <w:noWrap/>
            <w:vAlign w:val="center"/>
          </w:tcPr>
          <w:p w14:paraId="158B9DEC"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888</w:t>
            </w:r>
          </w:p>
        </w:tc>
        <w:tc>
          <w:tcPr>
            <w:tcW w:w="654" w:type="pct"/>
            <w:shd w:val="clear" w:color="auto" w:fill="000000" w:themeFill="text1"/>
            <w:noWrap/>
            <w:vAlign w:val="center"/>
          </w:tcPr>
          <w:p w14:paraId="2836254D"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4041C826"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36A83717"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6E564CA9"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7FC7F164"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r w:rsidR="00BC7922" w:rsidRPr="003C13ED" w14:paraId="615A18EA" w14:textId="77777777" w:rsidTr="00C42096">
        <w:trPr>
          <w:trHeight w:val="20"/>
          <w:jc w:val="center"/>
        </w:trPr>
        <w:tc>
          <w:tcPr>
            <w:tcW w:w="538" w:type="pct"/>
            <w:vMerge/>
            <w:shd w:val="clear" w:color="auto" w:fill="F2F2F2" w:themeFill="background1" w:themeFillShade="F2"/>
            <w:vAlign w:val="center"/>
          </w:tcPr>
          <w:p w14:paraId="5C776E53"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538" w:type="pct"/>
            <w:vMerge/>
            <w:shd w:val="clear" w:color="auto" w:fill="F2F2F2" w:themeFill="background1" w:themeFillShade="F2"/>
            <w:noWrap/>
            <w:vAlign w:val="center"/>
          </w:tcPr>
          <w:p w14:paraId="6CD04037" w14:textId="77777777" w:rsidR="00BC7922" w:rsidRPr="003C13ED" w:rsidRDefault="00BC7922" w:rsidP="00C42096">
            <w:pPr>
              <w:spacing w:after="0" w:line="240" w:lineRule="auto"/>
              <w:rPr>
                <w:rFonts w:ascii="Franklin Gothic Book" w:eastAsia="Times New Roman" w:hAnsi="Franklin Gothic Book" w:cs="Calibri"/>
                <w:b/>
                <w:bCs/>
                <w:color w:val="000000"/>
                <w:sz w:val="20"/>
                <w:szCs w:val="20"/>
              </w:rPr>
            </w:pPr>
          </w:p>
        </w:tc>
        <w:tc>
          <w:tcPr>
            <w:tcW w:w="654" w:type="pct"/>
            <w:shd w:val="clear" w:color="auto" w:fill="F2F2F2" w:themeFill="background1" w:themeFillShade="F2"/>
            <w:noWrap/>
            <w:vAlign w:val="center"/>
          </w:tcPr>
          <w:p w14:paraId="0C3C6490"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r w:rsidRPr="003C13ED">
              <w:rPr>
                <w:rFonts w:ascii="Franklin Gothic Book" w:eastAsia="Times New Roman" w:hAnsi="Franklin Gothic Book" w:cs="Calibri"/>
                <w:color w:val="000000"/>
                <w:sz w:val="20"/>
                <w:szCs w:val="20"/>
              </w:rPr>
              <w:t>7.9%</w:t>
            </w:r>
          </w:p>
        </w:tc>
        <w:tc>
          <w:tcPr>
            <w:tcW w:w="654" w:type="pct"/>
            <w:shd w:val="clear" w:color="auto" w:fill="000000" w:themeFill="text1"/>
            <w:noWrap/>
            <w:vAlign w:val="center"/>
          </w:tcPr>
          <w:p w14:paraId="03EA8F0E"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587EBC0A"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1100AF11"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noWrap/>
            <w:vAlign w:val="center"/>
          </w:tcPr>
          <w:p w14:paraId="6248D41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c>
          <w:tcPr>
            <w:tcW w:w="654" w:type="pct"/>
            <w:shd w:val="clear" w:color="000000" w:fill="000000"/>
            <w:vAlign w:val="center"/>
          </w:tcPr>
          <w:p w14:paraId="1EFCBFE3" w14:textId="77777777" w:rsidR="00BC7922" w:rsidRPr="003C13ED" w:rsidRDefault="00BC7922" w:rsidP="00C42096">
            <w:pPr>
              <w:spacing w:after="0" w:line="240" w:lineRule="auto"/>
              <w:rPr>
                <w:rFonts w:ascii="Franklin Gothic Book" w:eastAsia="Times New Roman" w:hAnsi="Franklin Gothic Book" w:cs="Calibri"/>
                <w:color w:val="000000"/>
                <w:sz w:val="20"/>
                <w:szCs w:val="20"/>
              </w:rPr>
            </w:pPr>
          </w:p>
        </w:tc>
      </w:tr>
    </w:tbl>
    <w:p w14:paraId="587AC4B7" w14:textId="77777777" w:rsidR="00BC7922" w:rsidRDefault="00BC7922" w:rsidP="00BC7922">
      <w:pPr>
        <w:rPr>
          <w:rFonts w:ascii="Franklin Gothic Book" w:hAnsi="Franklin Gothic Book"/>
          <w:sz w:val="20"/>
          <w:szCs w:val="20"/>
        </w:rPr>
      </w:pPr>
    </w:p>
    <w:p w14:paraId="0B591C36" w14:textId="77777777" w:rsidR="00F62A69" w:rsidRDefault="00F62A69" w:rsidP="00BC7922">
      <w:pPr>
        <w:rPr>
          <w:rFonts w:ascii="Calibri" w:hAnsi="Calibri" w:cs="Calibri"/>
        </w:rPr>
      </w:pPr>
    </w:p>
    <w:p w14:paraId="438DC33C" w14:textId="77777777" w:rsidR="00F62A69" w:rsidRPr="00F62A69" w:rsidRDefault="00F62A69" w:rsidP="00F62A69">
      <w:pPr>
        <w:rPr>
          <w:rFonts w:ascii="Calibri" w:hAnsi="Calibri" w:cs="Calibri"/>
          <w:b/>
          <w:bCs/>
        </w:rPr>
      </w:pPr>
      <w:r w:rsidRPr="00F62A69">
        <w:rPr>
          <w:rFonts w:ascii="Calibri" w:hAnsi="Calibri" w:cs="Calibri"/>
          <w:b/>
          <w:bCs/>
        </w:rPr>
        <w:t>Key Data Insights</w:t>
      </w:r>
    </w:p>
    <w:p w14:paraId="3087B1B6" w14:textId="77777777" w:rsidR="00F62A69" w:rsidRPr="00F62A69" w:rsidRDefault="00F62A69" w:rsidP="00F62A69">
      <w:pPr>
        <w:rPr>
          <w:rFonts w:ascii="Calibri" w:hAnsi="Calibri" w:cs="Calibri"/>
        </w:rPr>
      </w:pPr>
      <w:r w:rsidRPr="00F62A69">
        <w:rPr>
          <w:rFonts w:ascii="Calibri" w:hAnsi="Calibri" w:cs="Calibri"/>
        </w:rPr>
        <w:t>Several critical trends emerge from this year's data:</w:t>
      </w:r>
    </w:p>
    <w:p w14:paraId="60B94F95" w14:textId="77777777" w:rsidR="00F62A69" w:rsidRPr="00F62A69" w:rsidRDefault="00F62A69" w:rsidP="00F62A69">
      <w:pPr>
        <w:pStyle w:val="ListParagraph"/>
        <w:numPr>
          <w:ilvl w:val="0"/>
          <w:numId w:val="22"/>
        </w:numPr>
        <w:rPr>
          <w:rFonts w:ascii="Calibri" w:hAnsi="Calibri" w:cs="Calibri"/>
        </w:rPr>
      </w:pPr>
      <w:r w:rsidRPr="00F62A69">
        <w:rPr>
          <w:rFonts w:ascii="Calibri" w:hAnsi="Calibri" w:cs="Calibri"/>
        </w:rPr>
        <w:t>The nearly 1,000-student increase represents the most significant growth in DRC history and necessitates continued attention to staffing, space, and service capacity</w:t>
      </w:r>
    </w:p>
    <w:p w14:paraId="402EF75F" w14:textId="77777777" w:rsidR="00F62A69" w:rsidRPr="00F62A69" w:rsidRDefault="00F62A69" w:rsidP="00F62A69">
      <w:pPr>
        <w:pStyle w:val="ListParagraph"/>
        <w:numPr>
          <w:ilvl w:val="0"/>
          <w:numId w:val="22"/>
        </w:numPr>
        <w:rPr>
          <w:rFonts w:ascii="Calibri" w:hAnsi="Calibri" w:cs="Calibri"/>
        </w:rPr>
      </w:pPr>
      <w:r w:rsidRPr="00F62A69">
        <w:rPr>
          <w:rFonts w:ascii="Calibri" w:hAnsi="Calibri" w:cs="Calibri"/>
        </w:rPr>
        <w:t>Graduate student growth of 42% signals need for expanded resources focused on research accommodations, teaching responsibilities, and graduate-specific support</w:t>
      </w:r>
    </w:p>
    <w:p w14:paraId="64D4D518" w14:textId="77777777" w:rsidR="00F62A69" w:rsidRPr="00F62A69" w:rsidRDefault="00F62A69" w:rsidP="00F62A69">
      <w:pPr>
        <w:pStyle w:val="ListParagraph"/>
        <w:numPr>
          <w:ilvl w:val="0"/>
          <w:numId w:val="22"/>
        </w:numPr>
        <w:rPr>
          <w:rFonts w:ascii="Calibri" w:hAnsi="Calibri" w:cs="Calibri"/>
        </w:rPr>
      </w:pPr>
      <w:r w:rsidRPr="00F62A69">
        <w:rPr>
          <w:rFonts w:ascii="Calibri" w:hAnsi="Calibri" w:cs="Calibri"/>
        </w:rPr>
        <w:t>Chronic health conditions doubling in one year reflects both increased student disclosure and potential post-pandemic health impacts on students</w:t>
      </w:r>
    </w:p>
    <w:p w14:paraId="53FFF4E6" w14:textId="77777777" w:rsidR="00F62A69" w:rsidRPr="00F62A69" w:rsidRDefault="00F62A69" w:rsidP="00F62A69">
      <w:pPr>
        <w:pStyle w:val="ListParagraph"/>
        <w:numPr>
          <w:ilvl w:val="0"/>
          <w:numId w:val="22"/>
        </w:numPr>
        <w:rPr>
          <w:rFonts w:ascii="Calibri" w:hAnsi="Calibri" w:cs="Calibri"/>
        </w:rPr>
      </w:pPr>
      <w:r w:rsidRPr="00F62A69">
        <w:rPr>
          <w:rFonts w:ascii="Calibri" w:hAnsi="Calibri" w:cs="Calibri"/>
        </w:rPr>
        <w:t>International student registration growth demonstrates success of outreach efforts and importance of culturally informed service delivery</w:t>
      </w:r>
    </w:p>
    <w:p w14:paraId="1D630D13" w14:textId="77777777" w:rsidR="00F62A69" w:rsidRPr="00F62A69" w:rsidRDefault="00F62A69" w:rsidP="00F62A69">
      <w:pPr>
        <w:pStyle w:val="ListParagraph"/>
        <w:numPr>
          <w:ilvl w:val="0"/>
          <w:numId w:val="22"/>
        </w:numPr>
        <w:rPr>
          <w:rFonts w:ascii="Calibri" w:hAnsi="Calibri" w:cs="Calibri"/>
        </w:rPr>
      </w:pPr>
      <w:r w:rsidRPr="00F62A69">
        <w:rPr>
          <w:rFonts w:ascii="Calibri" w:hAnsi="Calibri" w:cs="Calibri"/>
        </w:rPr>
        <w:t>Proportional representation across colleges indicates broad awareness of DRC services across all academic disciplines</w:t>
      </w:r>
    </w:p>
    <w:p w14:paraId="7BF94C7E" w14:textId="77777777" w:rsidR="00F62A69" w:rsidRPr="00F62A69" w:rsidRDefault="00F62A69" w:rsidP="00F62A69">
      <w:pPr>
        <w:rPr>
          <w:rFonts w:ascii="Calibri" w:hAnsi="Calibri" w:cs="Calibri"/>
        </w:rPr>
      </w:pPr>
    </w:p>
    <w:p w14:paraId="25F87FA0" w14:textId="77777777" w:rsidR="00F62A69" w:rsidRPr="00F62A69" w:rsidRDefault="00F62A69" w:rsidP="00F62A69">
      <w:pPr>
        <w:rPr>
          <w:rFonts w:ascii="Calibri" w:hAnsi="Calibri" w:cs="Calibri"/>
          <w:b/>
          <w:bCs/>
        </w:rPr>
      </w:pPr>
      <w:r w:rsidRPr="00F62A69">
        <w:rPr>
          <w:rFonts w:ascii="Calibri" w:hAnsi="Calibri" w:cs="Calibri"/>
          <w:b/>
          <w:bCs/>
        </w:rPr>
        <w:t>CONCLUSION</w:t>
      </w:r>
    </w:p>
    <w:p w14:paraId="4944EEB9" w14:textId="0F982C0A" w:rsidR="00F62A69" w:rsidRPr="00F62A69" w:rsidRDefault="00F62A69" w:rsidP="00F62A69">
      <w:pPr>
        <w:rPr>
          <w:rFonts w:ascii="Calibri" w:hAnsi="Calibri" w:cs="Calibri"/>
        </w:rPr>
      </w:pPr>
      <w:r w:rsidRPr="00F62A69">
        <w:rPr>
          <w:rFonts w:ascii="Calibri" w:hAnsi="Calibri" w:cs="Calibri"/>
        </w:rPr>
        <w:t>The 2024-25 academic year represented a transformative period for the DRC, characterized by unprecedented growth, strategic facility improvements, campus expansion, and enhanced service delivery. The relocation to Young Hall, launch of full-scale Indianapolis operations, unification of the Accessible Materials Unit, and development of comprehensive faculty training programs position the DRC to continue leading in accessibility and design</w:t>
      </w:r>
      <w:r w:rsidR="00A01F6E">
        <w:rPr>
          <w:rFonts w:ascii="Calibri" w:hAnsi="Calibri" w:cs="Calibri"/>
        </w:rPr>
        <w:t xml:space="preserve"> that is inclusive of students with disabilities</w:t>
      </w:r>
      <w:r w:rsidRPr="00F62A69">
        <w:rPr>
          <w:rFonts w:ascii="Calibri" w:hAnsi="Calibri" w:cs="Calibri"/>
        </w:rPr>
        <w:t>.</w:t>
      </w:r>
    </w:p>
    <w:p w14:paraId="748701A0" w14:textId="69A64A86" w:rsidR="00F62A69" w:rsidRPr="00F62A69" w:rsidRDefault="00F62A69" w:rsidP="00F62A69">
      <w:pPr>
        <w:rPr>
          <w:rFonts w:ascii="Calibri" w:hAnsi="Calibri" w:cs="Calibri"/>
        </w:rPr>
      </w:pPr>
      <w:r w:rsidRPr="00F62A69">
        <w:rPr>
          <w:rFonts w:ascii="Calibri" w:hAnsi="Calibri" w:cs="Calibri"/>
        </w:rPr>
        <w:t>As the DRC moves forward, the focus remains on maintaining service excellence during a period of rapid growth, strengthening cross-campus consistency, deepening faculty partnerships, and cultivating a university culture where access is truly a shared responsibility. The data demonstrates not only increased student need but also growing trust in DRC services</w:t>
      </w:r>
      <w:r>
        <w:rPr>
          <w:rFonts w:ascii="Calibri" w:hAnsi="Calibri" w:cs="Calibri"/>
        </w:rPr>
        <w:t xml:space="preserve">, </w:t>
      </w:r>
      <w:r w:rsidRPr="00F62A69">
        <w:rPr>
          <w:rFonts w:ascii="Calibri" w:hAnsi="Calibri" w:cs="Calibri"/>
        </w:rPr>
        <w:t>a testament to the professionalism, dedication, and student-centered approach of the entire team.</w:t>
      </w:r>
    </w:p>
    <w:p w14:paraId="7A564FD5" w14:textId="289A61AA" w:rsidR="00F62A69" w:rsidRPr="00F62A69" w:rsidRDefault="00F62A69" w:rsidP="00F62A69">
      <w:pPr>
        <w:rPr>
          <w:rFonts w:ascii="Calibri" w:hAnsi="Calibri" w:cs="Calibri"/>
        </w:rPr>
      </w:pPr>
      <w:r w:rsidRPr="00F62A69">
        <w:rPr>
          <w:rFonts w:ascii="Calibri" w:hAnsi="Calibri" w:cs="Calibri"/>
        </w:rPr>
        <w:t xml:space="preserve">Through continued assessment, strategic planning, and commitment to innovative practices, the DRC will remain positioned as a national leader </w:t>
      </w:r>
      <w:r w:rsidR="00CF501D">
        <w:rPr>
          <w:rFonts w:ascii="Calibri" w:hAnsi="Calibri" w:cs="Calibri"/>
        </w:rPr>
        <w:t xml:space="preserve">in its field </w:t>
      </w:r>
      <w:r w:rsidRPr="00F62A69">
        <w:rPr>
          <w:rFonts w:ascii="Calibri" w:hAnsi="Calibri" w:cs="Calibri"/>
        </w:rPr>
        <w:t>in advancing equal access and full participation for all students.</w:t>
      </w:r>
    </w:p>
    <w:p w14:paraId="30766309" w14:textId="77777777" w:rsidR="00F62A69" w:rsidRPr="005416F6" w:rsidRDefault="00F62A69" w:rsidP="00BC7922">
      <w:pPr>
        <w:rPr>
          <w:rFonts w:ascii="Calibri" w:hAnsi="Calibri" w:cs="Calibri"/>
        </w:rPr>
      </w:pPr>
    </w:p>
    <w:bookmarkEnd w:id="0"/>
    <w:p w14:paraId="499294D5" w14:textId="77777777" w:rsidR="00BC7922" w:rsidRPr="000E691C" w:rsidRDefault="00BC7922" w:rsidP="00BC7922">
      <w:pPr>
        <w:pStyle w:val="Caption"/>
        <w:keepNext/>
        <w:rPr>
          <w:rFonts w:ascii="Franklin Gothic Book" w:hAnsi="Franklin Gothic Book"/>
        </w:rPr>
      </w:pPr>
    </w:p>
    <w:p w14:paraId="17648D91" w14:textId="77777777" w:rsidR="00BC7922" w:rsidRDefault="00BC7922" w:rsidP="00BC7922">
      <w:r>
        <w:rPr>
          <w:b/>
          <w:bCs/>
        </w:rPr>
        <w:t xml:space="preserve"> </w:t>
      </w:r>
    </w:p>
    <w:p w14:paraId="77664D7E" w14:textId="4CE7AC26" w:rsidR="00B32D9F" w:rsidRPr="00BC7922" w:rsidRDefault="00B32D9F" w:rsidP="00BC7922"/>
    <w:sectPr w:rsidR="00B32D9F" w:rsidRPr="00BC7922" w:rsidSect="004129FE">
      <w:headerReference w:type="default" r:id="rId15"/>
      <w:footerReference w:type="default" r:id="rId16"/>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8E36" w14:textId="77777777" w:rsidR="0004019C" w:rsidRDefault="0004019C" w:rsidP="003975C2">
      <w:pPr>
        <w:spacing w:after="0" w:line="240" w:lineRule="auto"/>
      </w:pPr>
      <w:r>
        <w:separator/>
      </w:r>
    </w:p>
  </w:endnote>
  <w:endnote w:type="continuationSeparator" w:id="0">
    <w:p w14:paraId="50792E3A" w14:textId="77777777" w:rsidR="0004019C" w:rsidRDefault="0004019C" w:rsidP="003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25E2" w14:textId="1EC57127" w:rsidR="00426BB6" w:rsidRDefault="00426BB6">
    <w:pPr>
      <w:pStyle w:val="Footer"/>
    </w:pPr>
    <w:r>
      <w:t xml:space="preserve">Last updated: </w:t>
    </w:r>
    <w:r w:rsidR="00F62A69">
      <w:t>November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DAFB" w14:textId="77777777" w:rsidR="0004019C" w:rsidRDefault="0004019C" w:rsidP="003975C2">
      <w:pPr>
        <w:spacing w:after="0" w:line="240" w:lineRule="auto"/>
      </w:pPr>
      <w:r>
        <w:separator/>
      </w:r>
    </w:p>
  </w:footnote>
  <w:footnote w:type="continuationSeparator" w:id="0">
    <w:p w14:paraId="22BEE1E8" w14:textId="77777777" w:rsidR="0004019C" w:rsidRDefault="0004019C" w:rsidP="00397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1A80" w14:textId="77777777" w:rsidR="00E81A3F" w:rsidRDefault="005E6C8A">
    <w:pPr>
      <w:pStyle w:val="Header"/>
    </w:pPr>
    <w:r w:rsidRPr="005E6C8A">
      <w:rPr>
        <w:noProof/>
      </w:rPr>
      <w:drawing>
        <wp:inline distT="0" distB="0" distL="0" distR="0" wp14:anchorId="592C3FBE" wp14:editId="11963B2F">
          <wp:extent cx="4324350" cy="463550"/>
          <wp:effectExtent l="0" t="0" r="0" b="0"/>
          <wp:docPr id="1" name="Picture 1" descr="Purdue University and Disability Resource Center co-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78\AppData\Local\Temp\1\Temp1_178e8e7063116d53f7668fab2be378ca (2).zip\Disability Resource Center\for print\JPEG\DRC_H-Full-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3550"/>
                  </a:xfrm>
                  <a:prstGeom prst="rect">
                    <a:avLst/>
                  </a:prstGeom>
                  <a:noFill/>
                  <a:ln>
                    <a:noFill/>
                  </a:ln>
                </pic:spPr>
              </pic:pic>
            </a:graphicData>
          </a:graphic>
        </wp:inline>
      </w:drawing>
    </w:r>
  </w:p>
  <w:p w14:paraId="09467C11" w14:textId="77777777" w:rsidR="00E81A3F" w:rsidRDefault="00E81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D8BF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254"/>
    <w:multiLevelType w:val="hybridMultilevel"/>
    <w:tmpl w:val="D690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37F8"/>
    <w:multiLevelType w:val="hybridMultilevel"/>
    <w:tmpl w:val="5A8E8CC8"/>
    <w:lvl w:ilvl="0" w:tplc="F43E815E">
      <w:start w:val="16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E0D47"/>
    <w:multiLevelType w:val="hybridMultilevel"/>
    <w:tmpl w:val="4434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A3067A"/>
    <w:multiLevelType w:val="multilevel"/>
    <w:tmpl w:val="4EA8E0E6"/>
    <w:styleLink w:val="LFO6"/>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D003CC2"/>
    <w:multiLevelType w:val="multilevel"/>
    <w:tmpl w:val="5B7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A2E3B"/>
    <w:multiLevelType w:val="multilevel"/>
    <w:tmpl w:val="9028E4D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3436BAF"/>
    <w:multiLevelType w:val="hybridMultilevel"/>
    <w:tmpl w:val="C4BE2828"/>
    <w:lvl w:ilvl="0" w:tplc="ED5EF0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63A28"/>
    <w:multiLevelType w:val="hybridMultilevel"/>
    <w:tmpl w:val="9684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14192"/>
    <w:multiLevelType w:val="multilevel"/>
    <w:tmpl w:val="6BB433E2"/>
    <w:styleLink w:val="LFO11"/>
    <w:lvl w:ilvl="0">
      <w:start w:val="1"/>
      <w:numFmt w:val="decimal"/>
      <w:pStyle w:val="ListNumber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7DF4ED1"/>
    <w:multiLevelType w:val="hybridMultilevel"/>
    <w:tmpl w:val="B59EF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FF7F9B"/>
    <w:multiLevelType w:val="multilevel"/>
    <w:tmpl w:val="87624790"/>
    <w:styleLink w:val="LFO10"/>
    <w:lvl w:ilvl="0">
      <w:start w:val="1"/>
      <w:numFmt w:val="decimal"/>
      <w:pStyle w:val="ListNumber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854363"/>
    <w:multiLevelType w:val="multilevel"/>
    <w:tmpl w:val="C564492A"/>
    <w:styleLink w:val="LFO7"/>
    <w:lvl w:ilvl="0">
      <w:numFmt w:val="bullet"/>
      <w:pStyle w:val="ListBullet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B3F713E"/>
    <w:multiLevelType w:val="multilevel"/>
    <w:tmpl w:val="734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41022"/>
    <w:multiLevelType w:val="hybridMultilevel"/>
    <w:tmpl w:val="26E4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228BB"/>
    <w:multiLevelType w:val="hybridMultilevel"/>
    <w:tmpl w:val="81FA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392C5A"/>
    <w:multiLevelType w:val="multilevel"/>
    <w:tmpl w:val="43B61FDE"/>
    <w:styleLink w:val="LFO9"/>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74F3EC8"/>
    <w:multiLevelType w:val="multilevel"/>
    <w:tmpl w:val="64267C9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4DC6E57"/>
    <w:multiLevelType w:val="multilevel"/>
    <w:tmpl w:val="A1385EA4"/>
    <w:styleLink w:val="LFO5"/>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A5E41F5"/>
    <w:multiLevelType w:val="hybridMultilevel"/>
    <w:tmpl w:val="EA6A9A06"/>
    <w:lvl w:ilvl="0" w:tplc="18D86D4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81679D"/>
    <w:multiLevelType w:val="hybridMultilevel"/>
    <w:tmpl w:val="B400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452E7"/>
    <w:multiLevelType w:val="hybridMultilevel"/>
    <w:tmpl w:val="3FC0F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175275">
    <w:abstractNumId w:val="15"/>
  </w:num>
  <w:num w:numId="2" w16cid:durableId="1588229957">
    <w:abstractNumId w:val="10"/>
  </w:num>
  <w:num w:numId="3" w16cid:durableId="1554657875">
    <w:abstractNumId w:val="3"/>
  </w:num>
  <w:num w:numId="4" w16cid:durableId="1550798056">
    <w:abstractNumId w:val="19"/>
  </w:num>
  <w:num w:numId="5" w16cid:durableId="999119718">
    <w:abstractNumId w:val="7"/>
  </w:num>
  <w:num w:numId="6" w16cid:durableId="1073315376">
    <w:abstractNumId w:val="5"/>
  </w:num>
  <w:num w:numId="7" w16cid:durableId="675573210">
    <w:abstractNumId w:val="13"/>
  </w:num>
  <w:num w:numId="8" w16cid:durableId="775634797">
    <w:abstractNumId w:val="1"/>
  </w:num>
  <w:num w:numId="9" w16cid:durableId="600645366">
    <w:abstractNumId w:val="2"/>
  </w:num>
  <w:num w:numId="10" w16cid:durableId="1632782118">
    <w:abstractNumId w:val="14"/>
  </w:num>
  <w:num w:numId="11" w16cid:durableId="1957176733">
    <w:abstractNumId w:val="20"/>
  </w:num>
  <w:num w:numId="12" w16cid:durableId="186259233">
    <w:abstractNumId w:val="21"/>
  </w:num>
  <w:num w:numId="13" w16cid:durableId="547957862">
    <w:abstractNumId w:val="18"/>
  </w:num>
  <w:num w:numId="14" w16cid:durableId="773284181">
    <w:abstractNumId w:val="4"/>
  </w:num>
  <w:num w:numId="15" w16cid:durableId="330989455">
    <w:abstractNumId w:val="12"/>
  </w:num>
  <w:num w:numId="16" w16cid:durableId="1732342642">
    <w:abstractNumId w:val="16"/>
  </w:num>
  <w:num w:numId="17" w16cid:durableId="1552427384">
    <w:abstractNumId w:val="11"/>
  </w:num>
  <w:num w:numId="18" w16cid:durableId="1876694094">
    <w:abstractNumId w:val="9"/>
  </w:num>
  <w:num w:numId="19" w16cid:durableId="117988860">
    <w:abstractNumId w:val="17"/>
  </w:num>
  <w:num w:numId="20" w16cid:durableId="538323239">
    <w:abstractNumId w:val="6"/>
  </w:num>
  <w:num w:numId="21" w16cid:durableId="2039427816">
    <w:abstractNumId w:val="0"/>
  </w:num>
  <w:num w:numId="22" w16cid:durableId="31079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C2"/>
    <w:rsid w:val="000168C3"/>
    <w:rsid w:val="00017CF5"/>
    <w:rsid w:val="000225A0"/>
    <w:rsid w:val="00026D36"/>
    <w:rsid w:val="000327B2"/>
    <w:rsid w:val="0004019C"/>
    <w:rsid w:val="000459A8"/>
    <w:rsid w:val="0005132A"/>
    <w:rsid w:val="00055A79"/>
    <w:rsid w:val="00063344"/>
    <w:rsid w:val="000667F9"/>
    <w:rsid w:val="00070C37"/>
    <w:rsid w:val="00072BB4"/>
    <w:rsid w:val="00081D2C"/>
    <w:rsid w:val="00082757"/>
    <w:rsid w:val="000847EA"/>
    <w:rsid w:val="00091FB5"/>
    <w:rsid w:val="000950EE"/>
    <w:rsid w:val="00095A99"/>
    <w:rsid w:val="000A36F4"/>
    <w:rsid w:val="000B5891"/>
    <w:rsid w:val="000D3374"/>
    <w:rsid w:val="000D716C"/>
    <w:rsid w:val="000E691C"/>
    <w:rsid w:val="000E6D1B"/>
    <w:rsid w:val="000F544C"/>
    <w:rsid w:val="0010565F"/>
    <w:rsid w:val="001261C2"/>
    <w:rsid w:val="00127066"/>
    <w:rsid w:val="001273A5"/>
    <w:rsid w:val="00147CBD"/>
    <w:rsid w:val="00152212"/>
    <w:rsid w:val="00161FFD"/>
    <w:rsid w:val="001716CB"/>
    <w:rsid w:val="001725E2"/>
    <w:rsid w:val="00173709"/>
    <w:rsid w:val="0018030F"/>
    <w:rsid w:val="0018129C"/>
    <w:rsid w:val="00184AD1"/>
    <w:rsid w:val="00184F98"/>
    <w:rsid w:val="00196C78"/>
    <w:rsid w:val="00196E90"/>
    <w:rsid w:val="001B267D"/>
    <w:rsid w:val="001C64C5"/>
    <w:rsid w:val="00207AB4"/>
    <w:rsid w:val="002262AA"/>
    <w:rsid w:val="00227B72"/>
    <w:rsid w:val="0023179C"/>
    <w:rsid w:val="0024089A"/>
    <w:rsid w:val="00253CA1"/>
    <w:rsid w:val="002544EF"/>
    <w:rsid w:val="0026570D"/>
    <w:rsid w:val="00271D2D"/>
    <w:rsid w:val="00281284"/>
    <w:rsid w:val="00292302"/>
    <w:rsid w:val="002B707E"/>
    <w:rsid w:val="002C33C7"/>
    <w:rsid w:val="002C7A76"/>
    <w:rsid w:val="002D36A6"/>
    <w:rsid w:val="002D6974"/>
    <w:rsid w:val="002E1C0B"/>
    <w:rsid w:val="002F0647"/>
    <w:rsid w:val="002F772D"/>
    <w:rsid w:val="00303642"/>
    <w:rsid w:val="00312A52"/>
    <w:rsid w:val="00313EA6"/>
    <w:rsid w:val="00317BC6"/>
    <w:rsid w:val="00321044"/>
    <w:rsid w:val="00326275"/>
    <w:rsid w:val="00336651"/>
    <w:rsid w:val="003518B0"/>
    <w:rsid w:val="00363DE7"/>
    <w:rsid w:val="00374BE0"/>
    <w:rsid w:val="003975C2"/>
    <w:rsid w:val="003A065B"/>
    <w:rsid w:val="003C13ED"/>
    <w:rsid w:val="003C2262"/>
    <w:rsid w:val="003C33B1"/>
    <w:rsid w:val="003C6C0C"/>
    <w:rsid w:val="003D0EDF"/>
    <w:rsid w:val="003F1D3B"/>
    <w:rsid w:val="003F45F0"/>
    <w:rsid w:val="003F495F"/>
    <w:rsid w:val="003F5F86"/>
    <w:rsid w:val="004049A0"/>
    <w:rsid w:val="004129FE"/>
    <w:rsid w:val="004211D2"/>
    <w:rsid w:val="00426BB6"/>
    <w:rsid w:val="00433529"/>
    <w:rsid w:val="00434882"/>
    <w:rsid w:val="00434937"/>
    <w:rsid w:val="004709BB"/>
    <w:rsid w:val="0048797B"/>
    <w:rsid w:val="00491155"/>
    <w:rsid w:val="00493953"/>
    <w:rsid w:val="00493EBA"/>
    <w:rsid w:val="004A7837"/>
    <w:rsid w:val="004D7176"/>
    <w:rsid w:val="004F3B2E"/>
    <w:rsid w:val="004F739E"/>
    <w:rsid w:val="00502E74"/>
    <w:rsid w:val="00503549"/>
    <w:rsid w:val="00520862"/>
    <w:rsid w:val="00522226"/>
    <w:rsid w:val="005253E3"/>
    <w:rsid w:val="00525CA8"/>
    <w:rsid w:val="005260F6"/>
    <w:rsid w:val="00537C08"/>
    <w:rsid w:val="00541B0F"/>
    <w:rsid w:val="00542BA8"/>
    <w:rsid w:val="005505C3"/>
    <w:rsid w:val="005505E5"/>
    <w:rsid w:val="005572B8"/>
    <w:rsid w:val="00561758"/>
    <w:rsid w:val="00566165"/>
    <w:rsid w:val="005773AD"/>
    <w:rsid w:val="005A1974"/>
    <w:rsid w:val="005A6688"/>
    <w:rsid w:val="005C0938"/>
    <w:rsid w:val="005C33B5"/>
    <w:rsid w:val="005C50DC"/>
    <w:rsid w:val="005C61E7"/>
    <w:rsid w:val="005D3E03"/>
    <w:rsid w:val="005E6C8A"/>
    <w:rsid w:val="005F0E70"/>
    <w:rsid w:val="005F22CE"/>
    <w:rsid w:val="005F25B2"/>
    <w:rsid w:val="005F776F"/>
    <w:rsid w:val="006128D0"/>
    <w:rsid w:val="006201C6"/>
    <w:rsid w:val="006311FA"/>
    <w:rsid w:val="00636E0E"/>
    <w:rsid w:val="006571E4"/>
    <w:rsid w:val="00671013"/>
    <w:rsid w:val="00691460"/>
    <w:rsid w:val="006A0FFA"/>
    <w:rsid w:val="006A3AFC"/>
    <w:rsid w:val="006B0080"/>
    <w:rsid w:val="006B1838"/>
    <w:rsid w:val="006B5C94"/>
    <w:rsid w:val="006C2E8F"/>
    <w:rsid w:val="006C367F"/>
    <w:rsid w:val="006C4FD3"/>
    <w:rsid w:val="006D22C3"/>
    <w:rsid w:val="006D6A33"/>
    <w:rsid w:val="006E274C"/>
    <w:rsid w:val="006F1271"/>
    <w:rsid w:val="00703E2E"/>
    <w:rsid w:val="00705063"/>
    <w:rsid w:val="00711B76"/>
    <w:rsid w:val="00732DA2"/>
    <w:rsid w:val="0074026B"/>
    <w:rsid w:val="00742BE6"/>
    <w:rsid w:val="00747177"/>
    <w:rsid w:val="00763B95"/>
    <w:rsid w:val="00764DE4"/>
    <w:rsid w:val="00772275"/>
    <w:rsid w:val="00786916"/>
    <w:rsid w:val="00787D18"/>
    <w:rsid w:val="0079603E"/>
    <w:rsid w:val="007B1D75"/>
    <w:rsid w:val="007D04AC"/>
    <w:rsid w:val="007E1895"/>
    <w:rsid w:val="007E2C7C"/>
    <w:rsid w:val="007F1723"/>
    <w:rsid w:val="00812352"/>
    <w:rsid w:val="008209B3"/>
    <w:rsid w:val="00827370"/>
    <w:rsid w:val="00834486"/>
    <w:rsid w:val="00840314"/>
    <w:rsid w:val="00892151"/>
    <w:rsid w:val="008A1662"/>
    <w:rsid w:val="008A4118"/>
    <w:rsid w:val="008A5FA2"/>
    <w:rsid w:val="008A6154"/>
    <w:rsid w:val="008A6A96"/>
    <w:rsid w:val="008C72CA"/>
    <w:rsid w:val="008E3917"/>
    <w:rsid w:val="008E67BA"/>
    <w:rsid w:val="008F05CF"/>
    <w:rsid w:val="0091515E"/>
    <w:rsid w:val="00924351"/>
    <w:rsid w:val="00935650"/>
    <w:rsid w:val="00943CC3"/>
    <w:rsid w:val="00992893"/>
    <w:rsid w:val="00997D26"/>
    <w:rsid w:val="009A3938"/>
    <w:rsid w:val="009A419D"/>
    <w:rsid w:val="009B1892"/>
    <w:rsid w:val="009B7E50"/>
    <w:rsid w:val="009D0DE8"/>
    <w:rsid w:val="009D7A06"/>
    <w:rsid w:val="00A0111B"/>
    <w:rsid w:val="00A01F6E"/>
    <w:rsid w:val="00A03509"/>
    <w:rsid w:val="00A064A4"/>
    <w:rsid w:val="00A07DB5"/>
    <w:rsid w:val="00A15BFA"/>
    <w:rsid w:val="00A16222"/>
    <w:rsid w:val="00A227D0"/>
    <w:rsid w:val="00A30AA2"/>
    <w:rsid w:val="00A32318"/>
    <w:rsid w:val="00A41378"/>
    <w:rsid w:val="00A47B7A"/>
    <w:rsid w:val="00A5696A"/>
    <w:rsid w:val="00A71349"/>
    <w:rsid w:val="00A85154"/>
    <w:rsid w:val="00A86B5A"/>
    <w:rsid w:val="00A87894"/>
    <w:rsid w:val="00A931E3"/>
    <w:rsid w:val="00A95433"/>
    <w:rsid w:val="00A956D9"/>
    <w:rsid w:val="00AA0BD6"/>
    <w:rsid w:val="00AA35D1"/>
    <w:rsid w:val="00AE18EC"/>
    <w:rsid w:val="00B01368"/>
    <w:rsid w:val="00B01821"/>
    <w:rsid w:val="00B07ACF"/>
    <w:rsid w:val="00B111CE"/>
    <w:rsid w:val="00B17368"/>
    <w:rsid w:val="00B23942"/>
    <w:rsid w:val="00B32D9F"/>
    <w:rsid w:val="00B4445A"/>
    <w:rsid w:val="00B81CFA"/>
    <w:rsid w:val="00B94F45"/>
    <w:rsid w:val="00BB116E"/>
    <w:rsid w:val="00BB61AD"/>
    <w:rsid w:val="00BC0C32"/>
    <w:rsid w:val="00BC7922"/>
    <w:rsid w:val="00BD0C0B"/>
    <w:rsid w:val="00BD13B3"/>
    <w:rsid w:val="00BD38D1"/>
    <w:rsid w:val="00BD78D0"/>
    <w:rsid w:val="00BE0234"/>
    <w:rsid w:val="00BE20C7"/>
    <w:rsid w:val="00BE5346"/>
    <w:rsid w:val="00C05AB7"/>
    <w:rsid w:val="00C075B6"/>
    <w:rsid w:val="00C079E5"/>
    <w:rsid w:val="00C147CF"/>
    <w:rsid w:val="00C24526"/>
    <w:rsid w:val="00C32152"/>
    <w:rsid w:val="00C3251A"/>
    <w:rsid w:val="00C42C8F"/>
    <w:rsid w:val="00C50988"/>
    <w:rsid w:val="00C5252F"/>
    <w:rsid w:val="00C5262C"/>
    <w:rsid w:val="00C56D11"/>
    <w:rsid w:val="00C76E06"/>
    <w:rsid w:val="00C82C26"/>
    <w:rsid w:val="00CA4808"/>
    <w:rsid w:val="00CA5232"/>
    <w:rsid w:val="00CB7838"/>
    <w:rsid w:val="00CD1639"/>
    <w:rsid w:val="00CF501D"/>
    <w:rsid w:val="00D03A8C"/>
    <w:rsid w:val="00D05896"/>
    <w:rsid w:val="00D07AA8"/>
    <w:rsid w:val="00D23925"/>
    <w:rsid w:val="00D244F1"/>
    <w:rsid w:val="00D34602"/>
    <w:rsid w:val="00D56042"/>
    <w:rsid w:val="00D65563"/>
    <w:rsid w:val="00D66168"/>
    <w:rsid w:val="00D86B01"/>
    <w:rsid w:val="00D900E5"/>
    <w:rsid w:val="00D9096E"/>
    <w:rsid w:val="00D92E48"/>
    <w:rsid w:val="00D9692D"/>
    <w:rsid w:val="00DD4D80"/>
    <w:rsid w:val="00DE195F"/>
    <w:rsid w:val="00DE38D9"/>
    <w:rsid w:val="00DE3E63"/>
    <w:rsid w:val="00DE6C4A"/>
    <w:rsid w:val="00E03284"/>
    <w:rsid w:val="00E07B04"/>
    <w:rsid w:val="00E11575"/>
    <w:rsid w:val="00E12C9E"/>
    <w:rsid w:val="00E1488B"/>
    <w:rsid w:val="00E63DFE"/>
    <w:rsid w:val="00E6704F"/>
    <w:rsid w:val="00E71FD9"/>
    <w:rsid w:val="00E750D0"/>
    <w:rsid w:val="00E81A3F"/>
    <w:rsid w:val="00E920B7"/>
    <w:rsid w:val="00EA30CE"/>
    <w:rsid w:val="00EA3C91"/>
    <w:rsid w:val="00EB0217"/>
    <w:rsid w:val="00EB6E06"/>
    <w:rsid w:val="00EB6F21"/>
    <w:rsid w:val="00EC36AF"/>
    <w:rsid w:val="00ED3AC8"/>
    <w:rsid w:val="00ED7589"/>
    <w:rsid w:val="00EE194C"/>
    <w:rsid w:val="00F26986"/>
    <w:rsid w:val="00F26F5B"/>
    <w:rsid w:val="00F457CE"/>
    <w:rsid w:val="00F50218"/>
    <w:rsid w:val="00F522A1"/>
    <w:rsid w:val="00F62197"/>
    <w:rsid w:val="00F62A69"/>
    <w:rsid w:val="00F63A21"/>
    <w:rsid w:val="00F71542"/>
    <w:rsid w:val="00F778E2"/>
    <w:rsid w:val="00F85FD5"/>
    <w:rsid w:val="00FB535B"/>
    <w:rsid w:val="00FB5EE5"/>
    <w:rsid w:val="00FC0B50"/>
    <w:rsid w:val="00FC2F29"/>
    <w:rsid w:val="00FC3A52"/>
    <w:rsid w:val="00FC4D84"/>
    <w:rsid w:val="00FD14EB"/>
    <w:rsid w:val="00FD34B9"/>
    <w:rsid w:val="00FD5128"/>
    <w:rsid w:val="00FE2F14"/>
    <w:rsid w:val="00FE625B"/>
    <w:rsid w:val="00FF31A1"/>
    <w:rsid w:val="00FF33B1"/>
    <w:rsid w:val="00FF36A7"/>
    <w:rsid w:val="00FF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5EA2"/>
  <w15:chartTrackingRefBased/>
  <w15:docId w15:val="{598C9D48-BB4B-4CE0-9533-10A508EE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5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autoRedefine/>
    <w:uiPriority w:val="9"/>
    <w:unhideWhenUsed/>
    <w:qFormat/>
    <w:rsid w:val="00BC7922"/>
    <w:pPr>
      <w:outlineLvl w:val="1"/>
    </w:pPr>
    <w:rPr>
      <w:rFonts w:asciiTheme="majorHAnsi" w:hAnsiTheme="majorHAnsi" w:cstheme="majorHAnsi"/>
      <w:b/>
      <w:sz w:val="26"/>
      <w:szCs w:val="26"/>
    </w:rPr>
  </w:style>
  <w:style w:type="paragraph" w:styleId="Heading3">
    <w:name w:val="heading 3"/>
    <w:basedOn w:val="Normal"/>
    <w:next w:val="Normal"/>
    <w:link w:val="Heading3Char"/>
    <w:uiPriority w:val="9"/>
    <w:unhideWhenUsed/>
    <w:qFormat/>
    <w:rsid w:val="00BC79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7922"/>
    <w:pPr>
      <w:keepNext/>
      <w:keepLines/>
      <w:suppressAutoHyphens/>
      <w:autoSpaceDN w:val="0"/>
      <w:spacing w:before="200" w:after="0" w:line="276" w:lineRule="auto"/>
      <w:textAlignment w:val="baseline"/>
      <w:outlineLvl w:val="3"/>
    </w:pPr>
    <w:rPr>
      <w:rFonts w:ascii="Calibri" w:eastAsia="MS Gothic" w:hAnsi="Calibri" w:cs="Times New Roman"/>
      <w:b/>
      <w:bCs/>
      <w:i/>
      <w:iCs/>
      <w:color w:val="4F81BD"/>
    </w:rPr>
  </w:style>
  <w:style w:type="paragraph" w:styleId="Heading5">
    <w:name w:val="heading 5"/>
    <w:basedOn w:val="Normal"/>
    <w:next w:val="Normal"/>
    <w:link w:val="Heading5Char"/>
    <w:uiPriority w:val="9"/>
    <w:semiHidden/>
    <w:unhideWhenUsed/>
    <w:qFormat/>
    <w:rsid w:val="00BC7922"/>
    <w:pPr>
      <w:keepNext/>
      <w:keepLines/>
      <w:suppressAutoHyphens/>
      <w:autoSpaceDN w:val="0"/>
      <w:spacing w:before="200" w:after="0" w:line="276" w:lineRule="auto"/>
      <w:textAlignment w:val="baseline"/>
      <w:outlineLvl w:val="4"/>
    </w:pPr>
    <w:rPr>
      <w:rFonts w:ascii="Calibri" w:eastAsia="MS Gothic" w:hAnsi="Calibri" w:cs="Times New Roman"/>
      <w:color w:val="243F60"/>
    </w:rPr>
  </w:style>
  <w:style w:type="paragraph" w:styleId="Heading6">
    <w:name w:val="heading 6"/>
    <w:basedOn w:val="Normal"/>
    <w:next w:val="Normal"/>
    <w:link w:val="Heading6Char"/>
    <w:uiPriority w:val="9"/>
    <w:semiHidden/>
    <w:unhideWhenUsed/>
    <w:qFormat/>
    <w:rsid w:val="00BC7922"/>
    <w:pPr>
      <w:keepNext/>
      <w:keepLines/>
      <w:suppressAutoHyphens/>
      <w:autoSpaceDN w:val="0"/>
      <w:spacing w:before="200" w:after="0" w:line="276" w:lineRule="auto"/>
      <w:textAlignment w:val="baseline"/>
      <w:outlineLvl w:val="5"/>
    </w:pPr>
    <w:rPr>
      <w:rFonts w:ascii="Calibri" w:eastAsia="MS Gothic" w:hAnsi="Calibri" w:cs="Times New Roman"/>
      <w:i/>
      <w:iCs/>
      <w:color w:val="243F60"/>
    </w:rPr>
  </w:style>
  <w:style w:type="paragraph" w:styleId="Heading7">
    <w:name w:val="heading 7"/>
    <w:basedOn w:val="Normal"/>
    <w:next w:val="Normal"/>
    <w:link w:val="Heading7Char"/>
    <w:rsid w:val="00BC7922"/>
    <w:pPr>
      <w:keepNext/>
      <w:keepLines/>
      <w:suppressAutoHyphens/>
      <w:autoSpaceDN w:val="0"/>
      <w:spacing w:before="200" w:after="0" w:line="276" w:lineRule="auto"/>
      <w:textAlignment w:val="baseline"/>
      <w:outlineLvl w:val="6"/>
    </w:pPr>
    <w:rPr>
      <w:rFonts w:ascii="Calibri" w:eastAsia="MS Gothic" w:hAnsi="Calibri" w:cs="Times New Roman"/>
      <w:i/>
      <w:iCs/>
      <w:color w:val="404040"/>
    </w:rPr>
  </w:style>
  <w:style w:type="paragraph" w:styleId="Heading8">
    <w:name w:val="heading 8"/>
    <w:basedOn w:val="Normal"/>
    <w:next w:val="Normal"/>
    <w:link w:val="Heading8Char"/>
    <w:rsid w:val="00BC7922"/>
    <w:pPr>
      <w:keepNext/>
      <w:keepLines/>
      <w:suppressAutoHyphens/>
      <w:autoSpaceDN w:val="0"/>
      <w:spacing w:before="200" w:after="0" w:line="276" w:lineRule="auto"/>
      <w:textAlignment w:val="baseline"/>
      <w:outlineLvl w:val="7"/>
    </w:pPr>
    <w:rPr>
      <w:rFonts w:ascii="Calibri" w:eastAsia="MS Gothic" w:hAnsi="Calibri" w:cs="Times New Roman"/>
      <w:color w:val="4F81BD"/>
      <w:sz w:val="20"/>
      <w:szCs w:val="20"/>
    </w:rPr>
  </w:style>
  <w:style w:type="paragraph" w:styleId="Heading9">
    <w:name w:val="heading 9"/>
    <w:basedOn w:val="Normal"/>
    <w:next w:val="Normal"/>
    <w:link w:val="Heading9Char"/>
    <w:rsid w:val="00BC7922"/>
    <w:pPr>
      <w:keepNext/>
      <w:keepLines/>
      <w:suppressAutoHyphens/>
      <w:autoSpaceDN w:val="0"/>
      <w:spacing w:before="200" w:after="0" w:line="276" w:lineRule="auto"/>
      <w:textAlignment w:val="baseline"/>
      <w:outlineLvl w:val="8"/>
    </w:pPr>
    <w:rPr>
      <w:rFonts w:ascii="Calibri" w:eastAsia="MS Gothic" w:hAnsi="Calibri"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C2"/>
  </w:style>
  <w:style w:type="paragraph" w:styleId="Footer">
    <w:name w:val="footer"/>
    <w:basedOn w:val="Normal"/>
    <w:link w:val="FooterChar"/>
    <w:uiPriority w:val="99"/>
    <w:unhideWhenUsed/>
    <w:rsid w:val="0039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C2"/>
  </w:style>
  <w:style w:type="character" w:customStyle="1" w:styleId="Heading2Char">
    <w:name w:val="Heading 2 Char"/>
    <w:basedOn w:val="DefaultParagraphFont"/>
    <w:link w:val="Heading2"/>
    <w:uiPriority w:val="9"/>
    <w:rsid w:val="00BC7922"/>
    <w:rPr>
      <w:rFonts w:asciiTheme="majorHAnsi" w:hAnsiTheme="majorHAnsi" w:cstheme="majorHAnsi"/>
      <w:b/>
      <w:sz w:val="26"/>
      <w:szCs w:val="26"/>
    </w:rPr>
  </w:style>
  <w:style w:type="paragraph" w:styleId="NoSpacing">
    <w:name w:val="No Spacing"/>
    <w:uiPriority w:val="1"/>
    <w:qFormat/>
    <w:rsid w:val="00426BB6"/>
    <w:pPr>
      <w:spacing w:after="0" w:line="240" w:lineRule="auto"/>
    </w:pPr>
  </w:style>
  <w:style w:type="character" w:styleId="PlaceholderText">
    <w:name w:val="Placeholder Text"/>
    <w:basedOn w:val="DefaultParagraphFont"/>
    <w:uiPriority w:val="99"/>
    <w:semiHidden/>
    <w:rsid w:val="00426BB6"/>
    <w:rPr>
      <w:color w:val="808080"/>
    </w:rPr>
  </w:style>
  <w:style w:type="paragraph" w:styleId="BalloonText">
    <w:name w:val="Balloon Text"/>
    <w:basedOn w:val="Normal"/>
    <w:link w:val="BalloonTextChar"/>
    <w:uiPriority w:val="99"/>
    <w:semiHidden/>
    <w:unhideWhenUsed/>
    <w:rsid w:val="006D6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33"/>
    <w:rPr>
      <w:rFonts w:ascii="Segoe UI" w:hAnsi="Segoe UI" w:cs="Segoe UI"/>
      <w:sz w:val="18"/>
      <w:szCs w:val="18"/>
    </w:rPr>
  </w:style>
  <w:style w:type="paragraph" w:styleId="ListParagraph">
    <w:name w:val="List Paragraph"/>
    <w:basedOn w:val="Normal"/>
    <w:uiPriority w:val="34"/>
    <w:qFormat/>
    <w:rsid w:val="00F62197"/>
    <w:pPr>
      <w:ind w:left="720"/>
      <w:contextualSpacing/>
    </w:pPr>
  </w:style>
  <w:style w:type="character" w:customStyle="1" w:styleId="Heading1Char">
    <w:name w:val="Heading 1 Char"/>
    <w:basedOn w:val="DefaultParagraphFont"/>
    <w:link w:val="Heading1"/>
    <w:uiPriority w:val="9"/>
    <w:rsid w:val="001725E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1725E2"/>
    <w:pPr>
      <w:spacing w:after="200" w:line="240" w:lineRule="auto"/>
    </w:pPr>
    <w:rPr>
      <w:i/>
      <w:iCs/>
      <w:color w:val="44546A" w:themeColor="text2"/>
      <w:sz w:val="18"/>
      <w:szCs w:val="18"/>
    </w:rPr>
  </w:style>
  <w:style w:type="table" w:styleId="TableGridLight">
    <w:name w:val="Grid Table Light"/>
    <w:basedOn w:val="TableNormal"/>
    <w:uiPriority w:val="40"/>
    <w:rsid w:val="00E920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9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A52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69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BE2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BE20C7"/>
  </w:style>
  <w:style w:type="paragraph" w:styleId="Title">
    <w:name w:val="Title"/>
    <w:basedOn w:val="Normal"/>
    <w:next w:val="Normal"/>
    <w:link w:val="TitleChar"/>
    <w:uiPriority w:val="10"/>
    <w:qFormat/>
    <w:rsid w:val="00B07A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ACF"/>
    <w:rPr>
      <w:rFonts w:asciiTheme="majorHAnsi" w:eastAsiaTheme="majorEastAsia" w:hAnsiTheme="majorHAnsi" w:cstheme="majorBidi"/>
      <w:spacing w:val="-10"/>
      <w:kern w:val="28"/>
      <w:sz w:val="56"/>
      <w:szCs w:val="56"/>
    </w:rPr>
  </w:style>
  <w:style w:type="table" w:styleId="PlainTable5">
    <w:name w:val="Plain Table 5"/>
    <w:basedOn w:val="TableNormal"/>
    <w:uiPriority w:val="45"/>
    <w:rsid w:val="003D0E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434882"/>
    <w:rPr>
      <w:color w:val="0563C1" w:themeColor="hyperlink"/>
      <w:u w:val="single"/>
    </w:rPr>
  </w:style>
  <w:style w:type="character" w:styleId="UnresolvedMention">
    <w:name w:val="Unresolved Mention"/>
    <w:basedOn w:val="DefaultParagraphFont"/>
    <w:uiPriority w:val="99"/>
    <w:semiHidden/>
    <w:unhideWhenUsed/>
    <w:rsid w:val="00434882"/>
    <w:rPr>
      <w:color w:val="605E5C"/>
      <w:shd w:val="clear" w:color="auto" w:fill="E1DFDD"/>
    </w:rPr>
  </w:style>
  <w:style w:type="character" w:customStyle="1" w:styleId="Heading3Char">
    <w:name w:val="Heading 3 Char"/>
    <w:basedOn w:val="DefaultParagraphFont"/>
    <w:link w:val="Heading3"/>
    <w:rsid w:val="00BC79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7922"/>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BC7922"/>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BC7922"/>
    <w:rPr>
      <w:rFonts w:ascii="Calibri" w:eastAsia="MS Gothic" w:hAnsi="Calibri" w:cs="Times New Roman"/>
      <w:i/>
      <w:iCs/>
      <w:color w:val="243F60"/>
    </w:rPr>
  </w:style>
  <w:style w:type="character" w:customStyle="1" w:styleId="Heading7Char">
    <w:name w:val="Heading 7 Char"/>
    <w:basedOn w:val="DefaultParagraphFont"/>
    <w:link w:val="Heading7"/>
    <w:rsid w:val="00BC7922"/>
    <w:rPr>
      <w:rFonts w:ascii="Calibri" w:eastAsia="MS Gothic" w:hAnsi="Calibri" w:cs="Times New Roman"/>
      <w:i/>
      <w:iCs/>
      <w:color w:val="404040"/>
    </w:rPr>
  </w:style>
  <w:style w:type="character" w:customStyle="1" w:styleId="Heading8Char">
    <w:name w:val="Heading 8 Char"/>
    <w:basedOn w:val="DefaultParagraphFont"/>
    <w:link w:val="Heading8"/>
    <w:rsid w:val="00BC7922"/>
    <w:rPr>
      <w:rFonts w:ascii="Calibri" w:eastAsia="MS Gothic" w:hAnsi="Calibri" w:cs="Times New Roman"/>
      <w:color w:val="4F81BD"/>
      <w:sz w:val="20"/>
      <w:szCs w:val="20"/>
    </w:rPr>
  </w:style>
  <w:style w:type="character" w:customStyle="1" w:styleId="Heading9Char">
    <w:name w:val="Heading 9 Char"/>
    <w:basedOn w:val="DefaultParagraphFont"/>
    <w:link w:val="Heading9"/>
    <w:rsid w:val="00BC7922"/>
    <w:rPr>
      <w:rFonts w:ascii="Calibri" w:eastAsia="MS Gothic" w:hAnsi="Calibri" w:cs="Times New Roman"/>
      <w:i/>
      <w:iCs/>
      <w:color w:val="404040"/>
      <w:sz w:val="20"/>
      <w:szCs w:val="20"/>
    </w:rPr>
  </w:style>
  <w:style w:type="paragraph" w:styleId="Subtitle">
    <w:name w:val="Subtitle"/>
    <w:basedOn w:val="Normal"/>
    <w:next w:val="Normal"/>
    <w:link w:val="SubtitleChar"/>
    <w:uiPriority w:val="11"/>
    <w:qFormat/>
    <w:rsid w:val="00BC7922"/>
    <w:pPr>
      <w:suppressAutoHyphens/>
      <w:autoSpaceDN w:val="0"/>
      <w:spacing w:after="200" w:line="276" w:lineRule="auto"/>
      <w:textAlignment w:val="baseline"/>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BC7922"/>
    <w:rPr>
      <w:rFonts w:ascii="Calibri" w:eastAsia="MS Gothic" w:hAnsi="Calibri" w:cs="Times New Roman"/>
      <w:i/>
      <w:iCs/>
      <w:color w:val="4F81BD"/>
      <w:spacing w:val="15"/>
      <w:sz w:val="24"/>
      <w:szCs w:val="24"/>
    </w:rPr>
  </w:style>
  <w:style w:type="paragraph" w:styleId="BodyText">
    <w:name w:val="Body Text"/>
    <w:basedOn w:val="Normal"/>
    <w:link w:val="BodyTextChar"/>
    <w:rsid w:val="00BC7922"/>
    <w:pPr>
      <w:suppressAutoHyphens/>
      <w:autoSpaceDN w:val="0"/>
      <w:spacing w:after="120" w:line="276" w:lineRule="auto"/>
      <w:textAlignment w:val="baseline"/>
    </w:pPr>
    <w:rPr>
      <w:rFonts w:ascii="Calibri" w:eastAsia="MS Mincho" w:hAnsi="Calibri" w:cs="Arial"/>
    </w:rPr>
  </w:style>
  <w:style w:type="character" w:customStyle="1" w:styleId="BodyTextChar">
    <w:name w:val="Body Text Char"/>
    <w:basedOn w:val="DefaultParagraphFont"/>
    <w:link w:val="BodyText"/>
    <w:rsid w:val="00BC7922"/>
    <w:rPr>
      <w:rFonts w:ascii="Calibri" w:eastAsia="MS Mincho" w:hAnsi="Calibri" w:cs="Arial"/>
    </w:rPr>
  </w:style>
  <w:style w:type="paragraph" w:styleId="BodyText2">
    <w:name w:val="Body Text 2"/>
    <w:basedOn w:val="Normal"/>
    <w:link w:val="BodyText2Char"/>
    <w:rsid w:val="00BC7922"/>
    <w:pPr>
      <w:suppressAutoHyphens/>
      <w:autoSpaceDN w:val="0"/>
      <w:spacing w:after="120" w:line="480" w:lineRule="auto"/>
      <w:textAlignment w:val="baseline"/>
    </w:pPr>
    <w:rPr>
      <w:rFonts w:ascii="Calibri" w:eastAsia="MS Mincho" w:hAnsi="Calibri" w:cs="Arial"/>
    </w:rPr>
  </w:style>
  <w:style w:type="character" w:customStyle="1" w:styleId="BodyText2Char">
    <w:name w:val="Body Text 2 Char"/>
    <w:basedOn w:val="DefaultParagraphFont"/>
    <w:link w:val="BodyText2"/>
    <w:rsid w:val="00BC7922"/>
    <w:rPr>
      <w:rFonts w:ascii="Calibri" w:eastAsia="MS Mincho" w:hAnsi="Calibri" w:cs="Arial"/>
    </w:rPr>
  </w:style>
  <w:style w:type="paragraph" w:styleId="BodyText3">
    <w:name w:val="Body Text 3"/>
    <w:basedOn w:val="Normal"/>
    <w:link w:val="BodyText3Char"/>
    <w:rsid w:val="00BC7922"/>
    <w:pPr>
      <w:suppressAutoHyphens/>
      <w:autoSpaceDN w:val="0"/>
      <w:spacing w:after="120" w:line="276" w:lineRule="auto"/>
      <w:textAlignment w:val="baseline"/>
    </w:pPr>
    <w:rPr>
      <w:rFonts w:ascii="Calibri" w:eastAsia="MS Mincho" w:hAnsi="Calibri" w:cs="Arial"/>
      <w:sz w:val="16"/>
      <w:szCs w:val="16"/>
    </w:rPr>
  </w:style>
  <w:style w:type="character" w:customStyle="1" w:styleId="BodyText3Char">
    <w:name w:val="Body Text 3 Char"/>
    <w:basedOn w:val="DefaultParagraphFont"/>
    <w:link w:val="BodyText3"/>
    <w:rsid w:val="00BC7922"/>
    <w:rPr>
      <w:rFonts w:ascii="Calibri" w:eastAsia="MS Mincho" w:hAnsi="Calibri" w:cs="Arial"/>
      <w:sz w:val="16"/>
      <w:szCs w:val="16"/>
    </w:rPr>
  </w:style>
  <w:style w:type="paragraph" w:styleId="List">
    <w:name w:val="List"/>
    <w:basedOn w:val="Normal"/>
    <w:rsid w:val="00BC7922"/>
    <w:pPr>
      <w:suppressAutoHyphens/>
      <w:autoSpaceDN w:val="0"/>
      <w:spacing w:after="200" w:line="276" w:lineRule="auto"/>
      <w:ind w:left="360" w:hanging="360"/>
      <w:textAlignment w:val="baseline"/>
    </w:pPr>
    <w:rPr>
      <w:rFonts w:ascii="Calibri" w:eastAsia="MS Mincho" w:hAnsi="Calibri" w:cs="Arial"/>
    </w:rPr>
  </w:style>
  <w:style w:type="paragraph" w:styleId="List2">
    <w:name w:val="List 2"/>
    <w:basedOn w:val="Normal"/>
    <w:rsid w:val="00BC7922"/>
    <w:pPr>
      <w:suppressAutoHyphens/>
      <w:autoSpaceDN w:val="0"/>
      <w:spacing w:after="200" w:line="276" w:lineRule="auto"/>
      <w:ind w:left="720" w:hanging="360"/>
      <w:textAlignment w:val="baseline"/>
    </w:pPr>
    <w:rPr>
      <w:rFonts w:ascii="Calibri" w:eastAsia="MS Mincho" w:hAnsi="Calibri" w:cs="Arial"/>
    </w:rPr>
  </w:style>
  <w:style w:type="paragraph" w:styleId="List3">
    <w:name w:val="List 3"/>
    <w:basedOn w:val="Normal"/>
    <w:rsid w:val="00BC7922"/>
    <w:pPr>
      <w:suppressAutoHyphens/>
      <w:autoSpaceDN w:val="0"/>
      <w:spacing w:after="200" w:line="276" w:lineRule="auto"/>
      <w:ind w:left="1080" w:hanging="360"/>
      <w:textAlignment w:val="baseline"/>
    </w:pPr>
    <w:rPr>
      <w:rFonts w:ascii="Calibri" w:eastAsia="MS Mincho" w:hAnsi="Calibri" w:cs="Arial"/>
    </w:rPr>
  </w:style>
  <w:style w:type="paragraph" w:styleId="ListBullet">
    <w:name w:val="List Bullet"/>
    <w:basedOn w:val="Normal"/>
    <w:rsid w:val="00BC7922"/>
    <w:pPr>
      <w:numPr>
        <w:numId w:val="21"/>
      </w:numPr>
      <w:tabs>
        <w:tab w:val="clear" w:pos="360"/>
      </w:tabs>
      <w:suppressAutoHyphens/>
      <w:autoSpaceDN w:val="0"/>
      <w:spacing w:after="200" w:line="276" w:lineRule="auto"/>
      <w:ind w:left="0" w:firstLine="0"/>
      <w:textAlignment w:val="baseline"/>
    </w:pPr>
    <w:rPr>
      <w:rFonts w:ascii="Calibri" w:eastAsia="MS Mincho" w:hAnsi="Calibri" w:cs="Arial"/>
    </w:rPr>
  </w:style>
  <w:style w:type="paragraph" w:styleId="ListBullet2">
    <w:name w:val="List Bullet 2"/>
    <w:basedOn w:val="Normal"/>
    <w:rsid w:val="00BC7922"/>
    <w:pPr>
      <w:numPr>
        <w:numId w:val="14"/>
      </w:numPr>
      <w:suppressAutoHyphens/>
      <w:autoSpaceDN w:val="0"/>
      <w:spacing w:after="200" w:line="276" w:lineRule="auto"/>
      <w:ind w:left="0" w:firstLine="0"/>
      <w:textAlignment w:val="baseline"/>
    </w:pPr>
    <w:rPr>
      <w:rFonts w:ascii="Calibri" w:eastAsia="MS Mincho" w:hAnsi="Calibri" w:cs="Arial"/>
    </w:rPr>
  </w:style>
  <w:style w:type="paragraph" w:styleId="ListBullet3">
    <w:name w:val="List Bullet 3"/>
    <w:basedOn w:val="Normal"/>
    <w:rsid w:val="00BC7922"/>
    <w:pPr>
      <w:numPr>
        <w:numId w:val="15"/>
      </w:numPr>
      <w:suppressAutoHyphens/>
      <w:autoSpaceDN w:val="0"/>
      <w:spacing w:after="200" w:line="276" w:lineRule="auto"/>
      <w:ind w:left="0" w:firstLine="0"/>
      <w:textAlignment w:val="baseline"/>
    </w:pPr>
    <w:rPr>
      <w:rFonts w:ascii="Calibri" w:eastAsia="MS Mincho" w:hAnsi="Calibri" w:cs="Arial"/>
    </w:rPr>
  </w:style>
  <w:style w:type="paragraph" w:styleId="ListNumber">
    <w:name w:val="List Number"/>
    <w:basedOn w:val="Normal"/>
    <w:rsid w:val="00BC7922"/>
    <w:pPr>
      <w:numPr>
        <w:numId w:val="16"/>
      </w:numPr>
      <w:suppressAutoHyphens/>
      <w:autoSpaceDN w:val="0"/>
      <w:spacing w:after="200" w:line="276" w:lineRule="auto"/>
      <w:ind w:left="0" w:firstLine="0"/>
      <w:textAlignment w:val="baseline"/>
    </w:pPr>
    <w:rPr>
      <w:rFonts w:ascii="Calibri" w:eastAsia="MS Mincho" w:hAnsi="Calibri" w:cs="Arial"/>
    </w:rPr>
  </w:style>
  <w:style w:type="paragraph" w:styleId="ListNumber2">
    <w:name w:val="List Number 2"/>
    <w:basedOn w:val="Normal"/>
    <w:rsid w:val="00BC7922"/>
    <w:pPr>
      <w:numPr>
        <w:numId w:val="17"/>
      </w:numPr>
      <w:suppressAutoHyphens/>
      <w:autoSpaceDN w:val="0"/>
      <w:spacing w:after="200" w:line="276" w:lineRule="auto"/>
      <w:ind w:left="0" w:firstLine="0"/>
      <w:textAlignment w:val="baseline"/>
    </w:pPr>
    <w:rPr>
      <w:rFonts w:ascii="Calibri" w:eastAsia="MS Mincho" w:hAnsi="Calibri" w:cs="Arial"/>
    </w:rPr>
  </w:style>
  <w:style w:type="paragraph" w:styleId="ListNumber3">
    <w:name w:val="List Number 3"/>
    <w:basedOn w:val="Normal"/>
    <w:rsid w:val="00BC7922"/>
    <w:pPr>
      <w:numPr>
        <w:numId w:val="18"/>
      </w:numPr>
      <w:suppressAutoHyphens/>
      <w:autoSpaceDN w:val="0"/>
      <w:spacing w:after="200" w:line="276" w:lineRule="auto"/>
      <w:ind w:left="0" w:firstLine="0"/>
      <w:textAlignment w:val="baseline"/>
    </w:pPr>
    <w:rPr>
      <w:rFonts w:ascii="Calibri" w:eastAsia="MS Mincho" w:hAnsi="Calibri" w:cs="Arial"/>
    </w:rPr>
  </w:style>
  <w:style w:type="paragraph" w:styleId="ListContinue">
    <w:name w:val="List Continue"/>
    <w:basedOn w:val="Normal"/>
    <w:rsid w:val="00BC7922"/>
    <w:pPr>
      <w:suppressAutoHyphens/>
      <w:autoSpaceDN w:val="0"/>
      <w:spacing w:after="120" w:line="276" w:lineRule="auto"/>
      <w:ind w:left="360"/>
      <w:textAlignment w:val="baseline"/>
    </w:pPr>
    <w:rPr>
      <w:rFonts w:ascii="Calibri" w:eastAsia="MS Mincho" w:hAnsi="Calibri" w:cs="Arial"/>
    </w:rPr>
  </w:style>
  <w:style w:type="paragraph" w:styleId="ListContinue2">
    <w:name w:val="List Continue 2"/>
    <w:basedOn w:val="Normal"/>
    <w:rsid w:val="00BC7922"/>
    <w:pPr>
      <w:suppressAutoHyphens/>
      <w:autoSpaceDN w:val="0"/>
      <w:spacing w:after="120" w:line="276" w:lineRule="auto"/>
      <w:ind w:left="720"/>
      <w:textAlignment w:val="baseline"/>
    </w:pPr>
    <w:rPr>
      <w:rFonts w:ascii="Calibri" w:eastAsia="MS Mincho" w:hAnsi="Calibri" w:cs="Arial"/>
    </w:rPr>
  </w:style>
  <w:style w:type="paragraph" w:styleId="ListContinue3">
    <w:name w:val="List Continue 3"/>
    <w:basedOn w:val="Normal"/>
    <w:rsid w:val="00BC7922"/>
    <w:pPr>
      <w:suppressAutoHyphens/>
      <w:autoSpaceDN w:val="0"/>
      <w:spacing w:after="120" w:line="276" w:lineRule="auto"/>
      <w:ind w:left="1080"/>
      <w:textAlignment w:val="baseline"/>
    </w:pPr>
    <w:rPr>
      <w:rFonts w:ascii="Calibri" w:eastAsia="MS Mincho" w:hAnsi="Calibri" w:cs="Arial"/>
    </w:rPr>
  </w:style>
  <w:style w:type="paragraph" w:styleId="MacroText">
    <w:name w:val="macro"/>
    <w:link w:val="MacroTextChar"/>
    <w:rsid w:val="00BC7922"/>
    <w:pPr>
      <w:tabs>
        <w:tab w:val="left" w:pos="576"/>
        <w:tab w:val="left" w:pos="1152"/>
        <w:tab w:val="left" w:pos="1728"/>
        <w:tab w:val="left" w:pos="2304"/>
        <w:tab w:val="left" w:pos="2880"/>
        <w:tab w:val="left" w:pos="3456"/>
        <w:tab w:val="left" w:pos="4032"/>
      </w:tabs>
      <w:suppressAutoHyphens/>
      <w:autoSpaceDN w:val="0"/>
      <w:spacing w:after="200" w:line="276" w:lineRule="auto"/>
      <w:textAlignment w:val="baseline"/>
    </w:pPr>
    <w:rPr>
      <w:rFonts w:ascii="Courier" w:eastAsia="MS Mincho" w:hAnsi="Courier" w:cs="Arial"/>
      <w:sz w:val="20"/>
      <w:szCs w:val="20"/>
    </w:rPr>
  </w:style>
  <w:style w:type="character" w:customStyle="1" w:styleId="MacroTextChar">
    <w:name w:val="Macro Text Char"/>
    <w:basedOn w:val="DefaultParagraphFont"/>
    <w:link w:val="MacroText"/>
    <w:rsid w:val="00BC7922"/>
    <w:rPr>
      <w:rFonts w:ascii="Courier" w:eastAsia="MS Mincho" w:hAnsi="Courier" w:cs="Arial"/>
      <w:sz w:val="20"/>
      <w:szCs w:val="20"/>
    </w:rPr>
  </w:style>
  <w:style w:type="paragraph" w:styleId="Quote">
    <w:name w:val="Quote"/>
    <w:basedOn w:val="Normal"/>
    <w:next w:val="Normal"/>
    <w:link w:val="QuoteChar"/>
    <w:rsid w:val="00BC7922"/>
    <w:pPr>
      <w:suppressAutoHyphens/>
      <w:autoSpaceDN w:val="0"/>
      <w:spacing w:after="200" w:line="276" w:lineRule="auto"/>
      <w:textAlignment w:val="baseline"/>
    </w:pPr>
    <w:rPr>
      <w:rFonts w:ascii="Calibri" w:eastAsia="MS Mincho" w:hAnsi="Calibri" w:cs="Arial"/>
      <w:i/>
      <w:iCs/>
      <w:color w:val="000000"/>
    </w:rPr>
  </w:style>
  <w:style w:type="character" w:customStyle="1" w:styleId="QuoteChar">
    <w:name w:val="Quote Char"/>
    <w:basedOn w:val="DefaultParagraphFont"/>
    <w:link w:val="Quote"/>
    <w:rsid w:val="00BC7922"/>
    <w:rPr>
      <w:rFonts w:ascii="Calibri" w:eastAsia="MS Mincho" w:hAnsi="Calibri" w:cs="Arial"/>
      <w:i/>
      <w:iCs/>
      <w:color w:val="000000"/>
    </w:rPr>
  </w:style>
  <w:style w:type="character" w:styleId="Strong">
    <w:name w:val="Strong"/>
    <w:basedOn w:val="DefaultParagraphFont"/>
    <w:rsid w:val="00BC7922"/>
    <w:rPr>
      <w:b/>
      <w:bCs/>
    </w:rPr>
  </w:style>
  <w:style w:type="character" w:styleId="Emphasis">
    <w:name w:val="Emphasis"/>
    <w:basedOn w:val="DefaultParagraphFont"/>
    <w:rsid w:val="00BC7922"/>
    <w:rPr>
      <w:i/>
      <w:iCs/>
    </w:rPr>
  </w:style>
  <w:style w:type="paragraph" w:styleId="IntenseQuote">
    <w:name w:val="Intense Quote"/>
    <w:basedOn w:val="Normal"/>
    <w:next w:val="Normal"/>
    <w:link w:val="IntenseQuoteChar"/>
    <w:rsid w:val="00BC7922"/>
    <w:pPr>
      <w:pBdr>
        <w:bottom w:val="single" w:sz="4" w:space="4" w:color="4F81BD"/>
      </w:pBdr>
      <w:suppressAutoHyphens/>
      <w:autoSpaceDN w:val="0"/>
      <w:spacing w:before="200" w:after="280" w:line="276" w:lineRule="auto"/>
      <w:ind w:left="936" w:right="936"/>
      <w:textAlignment w:val="baseline"/>
    </w:pPr>
    <w:rPr>
      <w:rFonts w:ascii="Calibri" w:eastAsia="MS Mincho" w:hAnsi="Calibri" w:cs="Arial"/>
      <w:b/>
      <w:bCs/>
      <w:i/>
      <w:iCs/>
      <w:color w:val="4F81BD"/>
    </w:rPr>
  </w:style>
  <w:style w:type="character" w:customStyle="1" w:styleId="IntenseQuoteChar">
    <w:name w:val="Intense Quote Char"/>
    <w:basedOn w:val="DefaultParagraphFont"/>
    <w:link w:val="IntenseQuote"/>
    <w:rsid w:val="00BC7922"/>
    <w:rPr>
      <w:rFonts w:ascii="Calibri" w:eastAsia="MS Mincho" w:hAnsi="Calibri" w:cs="Arial"/>
      <w:b/>
      <w:bCs/>
      <w:i/>
      <w:iCs/>
      <w:color w:val="4F81BD"/>
    </w:rPr>
  </w:style>
  <w:style w:type="character" w:styleId="SubtleEmphasis">
    <w:name w:val="Subtle Emphasis"/>
    <w:basedOn w:val="DefaultParagraphFont"/>
    <w:rsid w:val="00BC7922"/>
    <w:rPr>
      <w:i/>
      <w:iCs/>
      <w:color w:val="808080"/>
    </w:rPr>
  </w:style>
  <w:style w:type="character" w:styleId="IntenseEmphasis">
    <w:name w:val="Intense Emphasis"/>
    <w:basedOn w:val="DefaultParagraphFont"/>
    <w:rsid w:val="00BC7922"/>
    <w:rPr>
      <w:b/>
      <w:bCs/>
      <w:i/>
      <w:iCs/>
      <w:color w:val="4F81BD"/>
    </w:rPr>
  </w:style>
  <w:style w:type="character" w:styleId="SubtleReference">
    <w:name w:val="Subtle Reference"/>
    <w:basedOn w:val="DefaultParagraphFont"/>
    <w:rsid w:val="00BC7922"/>
    <w:rPr>
      <w:smallCaps/>
      <w:color w:val="C0504D"/>
      <w:u w:val="single"/>
    </w:rPr>
  </w:style>
  <w:style w:type="character" w:styleId="IntenseReference">
    <w:name w:val="Intense Reference"/>
    <w:basedOn w:val="DefaultParagraphFont"/>
    <w:rsid w:val="00BC7922"/>
    <w:rPr>
      <w:b/>
      <w:bCs/>
      <w:smallCaps/>
      <w:color w:val="C0504D"/>
      <w:spacing w:val="5"/>
      <w:u w:val="single"/>
    </w:rPr>
  </w:style>
  <w:style w:type="character" w:styleId="BookTitle">
    <w:name w:val="Book Title"/>
    <w:basedOn w:val="DefaultParagraphFont"/>
    <w:rsid w:val="00BC7922"/>
    <w:rPr>
      <w:b/>
      <w:bCs/>
      <w:smallCaps/>
      <w:spacing w:val="5"/>
    </w:rPr>
  </w:style>
  <w:style w:type="paragraph" w:styleId="TOCHeading">
    <w:name w:val="TOC Heading"/>
    <w:basedOn w:val="Heading1"/>
    <w:next w:val="Normal"/>
    <w:rsid w:val="00BC7922"/>
    <w:pPr>
      <w:suppressAutoHyphens/>
      <w:autoSpaceDN w:val="0"/>
      <w:spacing w:before="480" w:line="276" w:lineRule="auto"/>
      <w:textAlignment w:val="baseline"/>
    </w:pPr>
    <w:rPr>
      <w:rFonts w:ascii="Calibri" w:eastAsia="MS Gothic" w:hAnsi="Calibri" w:cs="Times New Roman"/>
      <w:b/>
      <w:bCs/>
      <w:color w:val="365F91"/>
      <w:sz w:val="28"/>
      <w:szCs w:val="28"/>
    </w:rPr>
  </w:style>
  <w:style w:type="character" w:styleId="CommentReference">
    <w:name w:val="annotation reference"/>
    <w:basedOn w:val="DefaultParagraphFont"/>
    <w:rsid w:val="00BC7922"/>
    <w:rPr>
      <w:sz w:val="16"/>
      <w:szCs w:val="16"/>
    </w:rPr>
  </w:style>
  <w:style w:type="paragraph" w:styleId="CommentText">
    <w:name w:val="annotation text"/>
    <w:basedOn w:val="Normal"/>
    <w:link w:val="CommentTextChar"/>
    <w:rsid w:val="00BC7922"/>
    <w:pPr>
      <w:suppressAutoHyphens/>
      <w:autoSpaceDN w:val="0"/>
      <w:spacing w:after="200" w:line="240" w:lineRule="auto"/>
      <w:textAlignment w:val="baseline"/>
    </w:pPr>
    <w:rPr>
      <w:rFonts w:ascii="Calibri" w:eastAsia="MS Mincho" w:hAnsi="Calibri" w:cs="Arial"/>
      <w:sz w:val="20"/>
      <w:szCs w:val="20"/>
    </w:rPr>
  </w:style>
  <w:style w:type="character" w:customStyle="1" w:styleId="CommentTextChar">
    <w:name w:val="Comment Text Char"/>
    <w:basedOn w:val="DefaultParagraphFont"/>
    <w:link w:val="CommentText"/>
    <w:rsid w:val="00BC7922"/>
    <w:rPr>
      <w:rFonts w:ascii="Calibri" w:eastAsia="MS Mincho" w:hAnsi="Calibri" w:cs="Arial"/>
      <w:sz w:val="20"/>
      <w:szCs w:val="20"/>
    </w:rPr>
  </w:style>
  <w:style w:type="paragraph" w:styleId="CommentSubject">
    <w:name w:val="annotation subject"/>
    <w:basedOn w:val="CommentText"/>
    <w:next w:val="CommentText"/>
    <w:link w:val="CommentSubjectChar"/>
    <w:rsid w:val="00BC7922"/>
    <w:rPr>
      <w:b/>
      <w:bCs/>
    </w:rPr>
  </w:style>
  <w:style w:type="character" w:customStyle="1" w:styleId="CommentSubjectChar">
    <w:name w:val="Comment Subject Char"/>
    <w:basedOn w:val="CommentTextChar"/>
    <w:link w:val="CommentSubject"/>
    <w:rsid w:val="00BC7922"/>
    <w:rPr>
      <w:rFonts w:ascii="Calibri" w:eastAsia="MS Mincho" w:hAnsi="Calibri" w:cs="Arial"/>
      <w:b/>
      <w:bCs/>
      <w:sz w:val="20"/>
      <w:szCs w:val="20"/>
    </w:rPr>
  </w:style>
  <w:style w:type="numbering" w:customStyle="1" w:styleId="LFO5">
    <w:name w:val="LFO5"/>
    <w:basedOn w:val="NoList"/>
    <w:rsid w:val="00BC7922"/>
    <w:pPr>
      <w:numPr>
        <w:numId w:val="13"/>
      </w:numPr>
    </w:pPr>
  </w:style>
  <w:style w:type="numbering" w:customStyle="1" w:styleId="LFO6">
    <w:name w:val="LFO6"/>
    <w:basedOn w:val="NoList"/>
    <w:rsid w:val="00BC7922"/>
    <w:pPr>
      <w:numPr>
        <w:numId w:val="14"/>
      </w:numPr>
    </w:pPr>
  </w:style>
  <w:style w:type="numbering" w:customStyle="1" w:styleId="LFO7">
    <w:name w:val="LFO7"/>
    <w:basedOn w:val="NoList"/>
    <w:rsid w:val="00BC7922"/>
    <w:pPr>
      <w:numPr>
        <w:numId w:val="15"/>
      </w:numPr>
    </w:pPr>
  </w:style>
  <w:style w:type="numbering" w:customStyle="1" w:styleId="LFO9">
    <w:name w:val="LFO9"/>
    <w:basedOn w:val="NoList"/>
    <w:rsid w:val="00BC7922"/>
    <w:pPr>
      <w:numPr>
        <w:numId w:val="16"/>
      </w:numPr>
    </w:pPr>
  </w:style>
  <w:style w:type="numbering" w:customStyle="1" w:styleId="LFO10">
    <w:name w:val="LFO10"/>
    <w:basedOn w:val="NoList"/>
    <w:rsid w:val="00BC7922"/>
    <w:pPr>
      <w:numPr>
        <w:numId w:val="17"/>
      </w:numPr>
    </w:pPr>
  </w:style>
  <w:style w:type="numbering" w:customStyle="1" w:styleId="LFO11">
    <w:name w:val="LFO11"/>
    <w:basedOn w:val="NoList"/>
    <w:rsid w:val="00BC792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7799">
      <w:bodyDiv w:val="1"/>
      <w:marLeft w:val="0"/>
      <w:marRight w:val="0"/>
      <w:marTop w:val="0"/>
      <w:marBottom w:val="0"/>
      <w:divBdr>
        <w:top w:val="none" w:sz="0" w:space="0" w:color="auto"/>
        <w:left w:val="none" w:sz="0" w:space="0" w:color="auto"/>
        <w:bottom w:val="none" w:sz="0" w:space="0" w:color="auto"/>
        <w:right w:val="none" w:sz="0" w:space="0" w:color="auto"/>
      </w:divBdr>
    </w:div>
    <w:div w:id="352610577">
      <w:bodyDiv w:val="1"/>
      <w:marLeft w:val="0"/>
      <w:marRight w:val="0"/>
      <w:marTop w:val="0"/>
      <w:marBottom w:val="0"/>
      <w:divBdr>
        <w:top w:val="none" w:sz="0" w:space="0" w:color="auto"/>
        <w:left w:val="none" w:sz="0" w:space="0" w:color="auto"/>
        <w:bottom w:val="none" w:sz="0" w:space="0" w:color="auto"/>
        <w:right w:val="none" w:sz="0" w:space="0" w:color="auto"/>
      </w:divBdr>
    </w:div>
    <w:div w:id="550388737">
      <w:bodyDiv w:val="1"/>
      <w:marLeft w:val="0"/>
      <w:marRight w:val="0"/>
      <w:marTop w:val="0"/>
      <w:marBottom w:val="0"/>
      <w:divBdr>
        <w:top w:val="none" w:sz="0" w:space="0" w:color="auto"/>
        <w:left w:val="none" w:sz="0" w:space="0" w:color="auto"/>
        <w:bottom w:val="none" w:sz="0" w:space="0" w:color="auto"/>
        <w:right w:val="none" w:sz="0" w:space="0" w:color="auto"/>
      </w:divBdr>
    </w:div>
    <w:div w:id="741759058">
      <w:bodyDiv w:val="1"/>
      <w:marLeft w:val="0"/>
      <w:marRight w:val="0"/>
      <w:marTop w:val="0"/>
      <w:marBottom w:val="0"/>
      <w:divBdr>
        <w:top w:val="none" w:sz="0" w:space="0" w:color="auto"/>
        <w:left w:val="none" w:sz="0" w:space="0" w:color="auto"/>
        <w:bottom w:val="none" w:sz="0" w:space="0" w:color="auto"/>
        <w:right w:val="none" w:sz="0" w:space="0" w:color="auto"/>
      </w:divBdr>
    </w:div>
    <w:div w:id="1046175811">
      <w:bodyDiv w:val="1"/>
      <w:marLeft w:val="0"/>
      <w:marRight w:val="0"/>
      <w:marTop w:val="0"/>
      <w:marBottom w:val="0"/>
      <w:divBdr>
        <w:top w:val="none" w:sz="0" w:space="0" w:color="auto"/>
        <w:left w:val="none" w:sz="0" w:space="0" w:color="auto"/>
        <w:bottom w:val="none" w:sz="0" w:space="0" w:color="auto"/>
        <w:right w:val="none" w:sz="0" w:space="0" w:color="auto"/>
      </w:divBdr>
    </w:div>
    <w:div w:id="1105493590">
      <w:bodyDiv w:val="1"/>
      <w:marLeft w:val="0"/>
      <w:marRight w:val="0"/>
      <w:marTop w:val="0"/>
      <w:marBottom w:val="0"/>
      <w:divBdr>
        <w:top w:val="none" w:sz="0" w:space="0" w:color="auto"/>
        <w:left w:val="none" w:sz="0" w:space="0" w:color="auto"/>
        <w:bottom w:val="none" w:sz="0" w:space="0" w:color="auto"/>
        <w:right w:val="none" w:sz="0" w:space="0" w:color="auto"/>
      </w:divBdr>
    </w:div>
    <w:div w:id="1213999719">
      <w:bodyDiv w:val="1"/>
      <w:marLeft w:val="0"/>
      <w:marRight w:val="0"/>
      <w:marTop w:val="0"/>
      <w:marBottom w:val="0"/>
      <w:divBdr>
        <w:top w:val="none" w:sz="0" w:space="0" w:color="auto"/>
        <w:left w:val="none" w:sz="0" w:space="0" w:color="auto"/>
        <w:bottom w:val="none" w:sz="0" w:space="0" w:color="auto"/>
        <w:right w:val="none" w:sz="0" w:space="0" w:color="auto"/>
      </w:divBdr>
    </w:div>
    <w:div w:id="1512835088">
      <w:bodyDiv w:val="1"/>
      <w:marLeft w:val="0"/>
      <w:marRight w:val="0"/>
      <w:marTop w:val="0"/>
      <w:marBottom w:val="0"/>
      <w:divBdr>
        <w:top w:val="none" w:sz="0" w:space="0" w:color="auto"/>
        <w:left w:val="none" w:sz="0" w:space="0" w:color="auto"/>
        <w:bottom w:val="none" w:sz="0" w:space="0" w:color="auto"/>
        <w:right w:val="none" w:sz="0" w:space="0" w:color="auto"/>
      </w:divBdr>
    </w:div>
    <w:div w:id="1531527615">
      <w:bodyDiv w:val="1"/>
      <w:marLeft w:val="0"/>
      <w:marRight w:val="0"/>
      <w:marTop w:val="0"/>
      <w:marBottom w:val="0"/>
      <w:divBdr>
        <w:top w:val="none" w:sz="0" w:space="0" w:color="auto"/>
        <w:left w:val="none" w:sz="0" w:space="0" w:color="auto"/>
        <w:bottom w:val="none" w:sz="0" w:space="0" w:color="auto"/>
        <w:right w:val="none" w:sz="0" w:space="0" w:color="auto"/>
      </w:divBdr>
    </w:div>
    <w:div w:id="1743483733">
      <w:bodyDiv w:val="1"/>
      <w:marLeft w:val="0"/>
      <w:marRight w:val="0"/>
      <w:marTop w:val="0"/>
      <w:marBottom w:val="0"/>
      <w:divBdr>
        <w:top w:val="none" w:sz="0" w:space="0" w:color="auto"/>
        <w:left w:val="none" w:sz="0" w:space="0" w:color="auto"/>
        <w:bottom w:val="none" w:sz="0" w:space="0" w:color="auto"/>
        <w:right w:val="none" w:sz="0" w:space="0" w:color="auto"/>
      </w:divBdr>
    </w:div>
    <w:div w:id="1783571574">
      <w:bodyDiv w:val="1"/>
      <w:marLeft w:val="0"/>
      <w:marRight w:val="0"/>
      <w:marTop w:val="0"/>
      <w:marBottom w:val="0"/>
      <w:divBdr>
        <w:top w:val="none" w:sz="0" w:space="0" w:color="auto"/>
        <w:left w:val="none" w:sz="0" w:space="0" w:color="auto"/>
        <w:bottom w:val="none" w:sz="0" w:space="0" w:color="auto"/>
        <w:right w:val="none" w:sz="0" w:space="0" w:color="auto"/>
      </w:divBdr>
    </w:div>
    <w:div w:id="1858613039">
      <w:bodyDiv w:val="1"/>
      <w:marLeft w:val="0"/>
      <w:marRight w:val="0"/>
      <w:marTop w:val="0"/>
      <w:marBottom w:val="0"/>
      <w:divBdr>
        <w:top w:val="none" w:sz="0" w:space="0" w:color="auto"/>
        <w:left w:val="none" w:sz="0" w:space="0" w:color="auto"/>
        <w:bottom w:val="none" w:sz="0" w:space="0" w:color="auto"/>
        <w:right w:val="none" w:sz="0" w:space="0" w:color="auto"/>
      </w:divBdr>
    </w:div>
    <w:div w:id="1992905185">
      <w:bodyDiv w:val="1"/>
      <w:marLeft w:val="0"/>
      <w:marRight w:val="0"/>
      <w:marTop w:val="0"/>
      <w:marBottom w:val="0"/>
      <w:divBdr>
        <w:top w:val="none" w:sz="0" w:space="0" w:color="auto"/>
        <w:left w:val="none" w:sz="0" w:space="0" w:color="auto"/>
        <w:bottom w:val="none" w:sz="0" w:space="0" w:color="auto"/>
        <w:right w:val="none" w:sz="0" w:space="0" w:color="auto"/>
      </w:divBdr>
    </w:div>
    <w:div w:id="202416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ardnerinstitut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eru.org/ho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aspa.org/home" TargetMode="External"/><Relationship Id="rId4" Type="http://schemas.openxmlformats.org/officeDocument/2006/relationships/styles" Target="styles.xml"/><Relationship Id="rId9" Type="http://schemas.openxmlformats.org/officeDocument/2006/relationships/hyperlink" Target="https://www.ahead.org/home" TargetMode="Externa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DRC\DRC%20Registered%20Students%20Fall%2011%20-%20Sum%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as01.itap.purdue.edu\csds_ssp\Shared\Assessment%20Evaluation%20and%20Communications\DRC\DRC%20Registered%20Students%20Fall%2011%20-%20Sum%20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latin typeface="Franklin Gothic Book" panose="020B0503020102020204" pitchFamily="34" charset="0"/>
              </a:rPr>
              <a:t>DRC Students as Percent of Purdue Population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col"/>
        <c:grouping val="clustered"/>
        <c:varyColors val="0"/>
        <c:ser>
          <c:idx val="0"/>
          <c:order val="0"/>
          <c:tx>
            <c:strRef>
              <c:f>Demographics!$B$56</c:f>
              <c:strCache>
                <c:ptCount val="1"/>
                <c:pt idx="0">
                  <c:v>DRC Students</c:v>
                </c:pt>
              </c:strCache>
            </c:strRef>
          </c:tx>
          <c:spPr>
            <a:solidFill>
              <a:srgbClr val="CEB888"/>
            </a:solidFill>
            <a:ln>
              <a:solidFill>
                <a:srgbClr val="CEB888"/>
              </a:solidFill>
            </a:ln>
            <a:effectLst/>
          </c:spPr>
          <c:invertIfNegative val="0"/>
          <c:cat>
            <c:strRef>
              <c:f>Demographics!$A$57:$A$70</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Demographics!$B$57:$B$70</c:f>
              <c:numCache>
                <c:formatCode>General</c:formatCode>
                <c:ptCount val="14"/>
                <c:pt idx="0">
                  <c:v>882</c:v>
                </c:pt>
                <c:pt idx="1">
                  <c:v>1054</c:v>
                </c:pt>
                <c:pt idx="2">
                  <c:v>1132</c:v>
                </c:pt>
                <c:pt idx="3">
                  <c:v>1207</c:v>
                </c:pt>
                <c:pt idx="4">
                  <c:v>1404</c:v>
                </c:pt>
                <c:pt idx="5">
                  <c:v>1540</c:v>
                </c:pt>
                <c:pt idx="6">
                  <c:v>2020</c:v>
                </c:pt>
                <c:pt idx="7">
                  <c:v>2622</c:v>
                </c:pt>
                <c:pt idx="8">
                  <c:v>3049</c:v>
                </c:pt>
                <c:pt idx="9">
                  <c:v>3016</c:v>
                </c:pt>
                <c:pt idx="10">
                  <c:v>3519</c:v>
                </c:pt>
                <c:pt idx="11">
                  <c:v>3992</c:v>
                </c:pt>
                <c:pt idx="12">
                  <c:v>4671</c:v>
                </c:pt>
                <c:pt idx="13">
                  <c:v>5614</c:v>
                </c:pt>
              </c:numCache>
            </c:numRef>
          </c:val>
          <c:extLst>
            <c:ext xmlns:c16="http://schemas.microsoft.com/office/drawing/2014/chart" uri="{C3380CC4-5D6E-409C-BE32-E72D297353CC}">
              <c16:uniqueId val="{00000000-894C-46C7-8E4E-1F71170C3E5D}"/>
            </c:ext>
          </c:extLst>
        </c:ser>
        <c:dLbls>
          <c:showLegendKey val="0"/>
          <c:showVal val="0"/>
          <c:showCatName val="0"/>
          <c:showSerName val="0"/>
          <c:showPercent val="0"/>
          <c:showBubbleSize val="0"/>
        </c:dLbls>
        <c:gapWidth val="150"/>
        <c:axId val="510550440"/>
        <c:axId val="510550768"/>
      </c:barChart>
      <c:lineChart>
        <c:grouping val="standard"/>
        <c:varyColors val="0"/>
        <c:ser>
          <c:idx val="1"/>
          <c:order val="1"/>
          <c:tx>
            <c:strRef>
              <c:f>Demographics!$C$56</c:f>
              <c:strCache>
                <c:ptCount val="1"/>
                <c:pt idx="0">
                  <c:v>% of Total Purdue Population</c:v>
                </c:pt>
              </c:strCache>
            </c:strRef>
          </c:tx>
          <c:spPr>
            <a:ln w="28575" cap="rnd">
              <a:solidFill>
                <a:sysClr val="windowText" lastClr="000000"/>
              </a:solidFill>
              <a:round/>
            </a:ln>
            <a:effectLst/>
          </c:spPr>
          <c:marker>
            <c:symbol val="none"/>
          </c:marker>
          <c:dLbls>
            <c:dLbl>
              <c:idx val="0"/>
              <c:layout>
                <c:manualLayout>
                  <c:x val="-4.034968883082489E-2"/>
                  <c:y val="-3.524229074889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4C-46C7-8E4E-1F71170C3E5D}"/>
                </c:ext>
              </c:extLst>
            </c:dLbl>
            <c:dLbl>
              <c:idx val="1"/>
              <c:layout>
                <c:manualLayout>
                  <c:x val="-4.5729647341601523E-2"/>
                  <c:y val="-3.0837004405286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4C-46C7-8E4E-1F71170C3E5D}"/>
                </c:ext>
              </c:extLst>
            </c:dLbl>
            <c:dLbl>
              <c:idx val="2"/>
              <c:layout>
                <c:manualLayout>
                  <c:x val="-5.1109605852378177E-2"/>
                  <c:y val="-4.405286343612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4C-46C7-8E4E-1F71170C3E5D}"/>
                </c:ext>
              </c:extLst>
            </c:dLbl>
            <c:dLbl>
              <c:idx val="3"/>
              <c:layout>
                <c:manualLayout>
                  <c:x val="-5.3799585107766501E-2"/>
                  <c:y val="-5.2863436123348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4C-46C7-8E4E-1F71170C3E5D}"/>
                </c:ext>
              </c:extLst>
            </c:dLbl>
            <c:dLbl>
              <c:idx val="4"/>
              <c:layout>
                <c:manualLayout>
                  <c:x val="-4.8419626596989847E-2"/>
                  <c:y val="-4.405286343612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4C-46C7-8E4E-1F71170C3E5D}"/>
                </c:ext>
              </c:extLst>
            </c:dLbl>
            <c:dLbl>
              <c:idx val="5"/>
              <c:layout>
                <c:manualLayout>
                  <c:x val="-5.6489564363154825E-2"/>
                  <c:y val="-3.9647577092511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4C-46C7-8E4E-1F71170C3E5D}"/>
                </c:ext>
              </c:extLst>
            </c:dLbl>
            <c:dLbl>
              <c:idx val="6"/>
              <c:layout>
                <c:manualLayout>
                  <c:x val="-6.4559502129319796E-2"/>
                  <c:y val="-2.2026431718061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4C-46C7-8E4E-1F71170C3E5D}"/>
                </c:ext>
              </c:extLst>
            </c:dLbl>
            <c:dLbl>
              <c:idx val="7"/>
              <c:layout>
                <c:manualLayout>
                  <c:x val="-5.9179543618543148E-2"/>
                  <c:y val="-3.0837004405286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4C-46C7-8E4E-1F71170C3E5D}"/>
                </c:ext>
              </c:extLst>
            </c:dLbl>
            <c:dLbl>
              <c:idx val="8"/>
              <c:layout>
                <c:manualLayout>
                  <c:x val="-4.5729647341601523E-2"/>
                  <c:y val="-3.964757709251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4C-46C7-8E4E-1F71170C3E5D}"/>
                </c:ext>
              </c:extLst>
            </c:dLbl>
            <c:dLbl>
              <c:idx val="9"/>
              <c:layout>
                <c:manualLayout>
                  <c:x val="-4.8419626596989847E-2"/>
                  <c:y val="-5.7268722466960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94C-46C7-8E4E-1F71170C3E5D}"/>
                </c:ext>
              </c:extLst>
            </c:dLbl>
            <c:dLbl>
              <c:idx val="10"/>
              <c:layout>
                <c:manualLayout>
                  <c:x val="-6.3593932780874399E-2"/>
                  <c:y val="-9.67854111172906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94C-46C7-8E4E-1F71170C3E5D}"/>
                </c:ext>
              </c:extLst>
            </c:dLbl>
            <c:dLbl>
              <c:idx val="11"/>
              <c:layout>
                <c:manualLayout>
                  <c:x val="-6.2421972534331994E-2"/>
                  <c:y val="-0.11524163568773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94C-46C7-8E4E-1F71170C3E5D}"/>
                </c:ext>
              </c:extLst>
            </c:dLbl>
            <c:dLbl>
              <c:idx val="12"/>
              <c:layout>
                <c:manualLayout>
                  <c:x val="-6.7415730337078747E-2"/>
                  <c:y val="-8.9219330855018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94C-46C7-8E4E-1F71170C3E5D}"/>
                </c:ext>
              </c:extLst>
            </c:dLbl>
            <c:dLbl>
              <c:idx val="13"/>
              <c:layout>
                <c:manualLayout>
                  <c:x val="-5.4931335830212237E-2"/>
                  <c:y val="-7.806691449814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94C-46C7-8E4E-1F71170C3E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Demographics!$A$57:$A$70</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Demographics!$C$57:$C$70</c:f>
              <c:numCache>
                <c:formatCode>0.0%</c:formatCode>
                <c:ptCount val="14"/>
                <c:pt idx="0">
                  <c:v>2.1006001714775652E-2</c:v>
                </c:pt>
                <c:pt idx="1">
                  <c:v>2.5518109626186326E-2</c:v>
                </c:pt>
                <c:pt idx="2">
                  <c:v>2.7709103370621498E-2</c:v>
                </c:pt>
                <c:pt idx="3">
                  <c:v>2.9442614953043053E-2</c:v>
                </c:pt>
                <c:pt idx="4">
                  <c:v>3.3493964406698794E-2</c:v>
                </c:pt>
                <c:pt idx="5">
                  <c:v>3.5819784616100296E-2</c:v>
                </c:pt>
                <c:pt idx="6">
                  <c:v>4.5465799365279433E-2</c:v>
                </c:pt>
                <c:pt idx="7">
                  <c:v>5.8605274921770228E-2</c:v>
                </c:pt>
                <c:pt idx="8">
                  <c:v>6.6292696714717464E-2</c:v>
                </c:pt>
                <c:pt idx="9">
                  <c:v>6.2717045478175887E-2</c:v>
                </c:pt>
                <c:pt idx="10">
                  <c:v>6.814089034331855E-2</c:v>
                </c:pt>
                <c:pt idx="11">
                  <c:v>7.4999999999999997E-2</c:v>
                </c:pt>
                <c:pt idx="12">
                  <c:v>8.5999999999999993E-2</c:v>
                </c:pt>
                <c:pt idx="13">
                  <c:v>9.2999999999999999E-2</c:v>
                </c:pt>
              </c:numCache>
            </c:numRef>
          </c:val>
          <c:smooth val="0"/>
          <c:extLst>
            <c:ext xmlns:c16="http://schemas.microsoft.com/office/drawing/2014/chart" uri="{C3380CC4-5D6E-409C-BE32-E72D297353CC}">
              <c16:uniqueId val="{0000000F-894C-46C7-8E4E-1F71170C3E5D}"/>
            </c:ext>
          </c:extLst>
        </c:ser>
        <c:dLbls>
          <c:showLegendKey val="0"/>
          <c:showVal val="0"/>
          <c:showCatName val="0"/>
          <c:showSerName val="0"/>
          <c:showPercent val="0"/>
          <c:showBubbleSize val="0"/>
        </c:dLbls>
        <c:marker val="1"/>
        <c:smooth val="0"/>
        <c:axId val="542303864"/>
        <c:axId val="542309440"/>
      </c:lineChart>
      <c:catAx>
        <c:axId val="51055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550768"/>
        <c:crosses val="autoZero"/>
        <c:auto val="1"/>
        <c:lblAlgn val="ctr"/>
        <c:lblOffset val="100"/>
        <c:noMultiLvlLbl val="0"/>
      </c:catAx>
      <c:valAx>
        <c:axId val="510550768"/>
        <c:scaling>
          <c:orientation val="minMax"/>
          <c:max val="570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550440"/>
        <c:crosses val="autoZero"/>
        <c:crossBetween val="between"/>
      </c:valAx>
      <c:valAx>
        <c:axId val="54230944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303864"/>
        <c:crosses val="max"/>
        <c:crossBetween val="between"/>
      </c:valAx>
      <c:catAx>
        <c:axId val="542303864"/>
        <c:scaling>
          <c:orientation val="minMax"/>
        </c:scaling>
        <c:delete val="1"/>
        <c:axPos val="b"/>
        <c:numFmt formatCode="General" sourceLinked="1"/>
        <c:majorTickMark val="none"/>
        <c:minorTickMark val="none"/>
        <c:tickLblPos val="nextTo"/>
        <c:crossAx val="5423094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r>
              <a:rPr lang="en-US">
                <a:solidFill>
                  <a:sysClr val="windowText" lastClr="000000"/>
                </a:solidFill>
                <a:latin typeface="Franklin Gothic Book" panose="020B0503020102020204" pitchFamily="34" charset="0"/>
              </a:rPr>
              <a:t>Total DRC Students by 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manualLayout>
          <c:layoutTarget val="inner"/>
          <c:xMode val="edge"/>
          <c:yMode val="edge"/>
          <c:x val="0.10985768213236294"/>
          <c:y val="0.12748595162472515"/>
          <c:w val="0.85030168041743781"/>
          <c:h val="0.55685662673548653"/>
        </c:manualLayout>
      </c:layout>
      <c:barChart>
        <c:barDir val="col"/>
        <c:grouping val="clustered"/>
        <c:varyColors val="0"/>
        <c:ser>
          <c:idx val="3"/>
          <c:order val="3"/>
          <c:tx>
            <c:strRef>
              <c:f>Demographics!$A$51</c:f>
              <c:strCache>
                <c:ptCount val="1"/>
                <c:pt idx="0">
                  <c:v>Total</c:v>
                </c:pt>
              </c:strCache>
            </c:strRef>
          </c:tx>
          <c:spPr>
            <a:solidFill>
              <a:srgbClr val="CEB88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Demographics!$B$47:$O$47</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Demographics!$B$51:$O$51</c:f>
              <c:numCache>
                <c:formatCode>General</c:formatCode>
                <c:ptCount val="14"/>
                <c:pt idx="0">
                  <c:v>882</c:v>
                </c:pt>
                <c:pt idx="1">
                  <c:v>1054</c:v>
                </c:pt>
                <c:pt idx="2">
                  <c:v>1132</c:v>
                </c:pt>
                <c:pt idx="3">
                  <c:v>1207</c:v>
                </c:pt>
                <c:pt idx="4">
                  <c:v>1404</c:v>
                </c:pt>
                <c:pt idx="5">
                  <c:v>1540</c:v>
                </c:pt>
                <c:pt idx="6">
                  <c:v>2020</c:v>
                </c:pt>
                <c:pt idx="7">
                  <c:v>2622</c:v>
                </c:pt>
                <c:pt idx="8">
                  <c:v>3049</c:v>
                </c:pt>
                <c:pt idx="9">
                  <c:v>3016</c:v>
                </c:pt>
                <c:pt idx="10">
                  <c:v>3519</c:v>
                </c:pt>
                <c:pt idx="11">
                  <c:v>3992</c:v>
                </c:pt>
                <c:pt idx="12">
                  <c:v>4671</c:v>
                </c:pt>
                <c:pt idx="13">
                  <c:v>5614</c:v>
                </c:pt>
              </c:numCache>
            </c:numRef>
          </c:val>
          <c:extLst>
            <c:ext xmlns:c16="http://schemas.microsoft.com/office/drawing/2014/chart" uri="{C3380CC4-5D6E-409C-BE32-E72D297353CC}">
              <c16:uniqueId val="{00000000-2F99-41BA-9906-DC7E0A02952E}"/>
            </c:ext>
          </c:extLst>
        </c:ser>
        <c:dLbls>
          <c:showLegendKey val="0"/>
          <c:showVal val="0"/>
          <c:showCatName val="0"/>
          <c:showSerName val="0"/>
          <c:showPercent val="0"/>
          <c:showBubbleSize val="0"/>
        </c:dLbls>
        <c:gapWidth val="150"/>
        <c:axId val="168922320"/>
        <c:axId val="481779256"/>
      </c:barChart>
      <c:lineChart>
        <c:grouping val="standard"/>
        <c:varyColors val="0"/>
        <c:ser>
          <c:idx val="0"/>
          <c:order val="0"/>
          <c:tx>
            <c:strRef>
              <c:f>Demographics!$A$48</c:f>
              <c:strCache>
                <c:ptCount val="1"/>
                <c:pt idx="0">
                  <c:v>Undergraduate</c:v>
                </c:pt>
              </c:strCache>
            </c:strRef>
          </c:tx>
          <c:spPr>
            <a:ln w="28575" cap="rnd">
              <a:solidFill>
                <a:sysClr val="windowText" lastClr="000000"/>
              </a:solidFill>
              <a:round/>
            </a:ln>
            <a:effectLst/>
          </c:spPr>
          <c:marker>
            <c:symbol val="none"/>
          </c:marker>
          <c:cat>
            <c:strRef>
              <c:f>Demographics!$B$47:$O$47</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Demographics!$B$48:$O$48</c:f>
              <c:numCache>
                <c:formatCode>General</c:formatCode>
                <c:ptCount val="14"/>
                <c:pt idx="0">
                  <c:v>801</c:v>
                </c:pt>
                <c:pt idx="1">
                  <c:v>949</c:v>
                </c:pt>
                <c:pt idx="2">
                  <c:v>1020</c:v>
                </c:pt>
                <c:pt idx="3">
                  <c:v>1070</c:v>
                </c:pt>
                <c:pt idx="4">
                  <c:v>1239</c:v>
                </c:pt>
                <c:pt idx="5">
                  <c:v>1363</c:v>
                </c:pt>
                <c:pt idx="6">
                  <c:v>1810</c:v>
                </c:pt>
                <c:pt idx="7">
                  <c:v>2366</c:v>
                </c:pt>
                <c:pt idx="8">
                  <c:v>2733</c:v>
                </c:pt>
                <c:pt idx="9">
                  <c:v>2644</c:v>
                </c:pt>
                <c:pt idx="10">
                  <c:v>3065</c:v>
                </c:pt>
                <c:pt idx="11">
                  <c:v>3519</c:v>
                </c:pt>
                <c:pt idx="12">
                  <c:v>4133</c:v>
                </c:pt>
                <c:pt idx="13">
                  <c:v>4877</c:v>
                </c:pt>
              </c:numCache>
            </c:numRef>
          </c:val>
          <c:smooth val="0"/>
          <c:extLst>
            <c:ext xmlns:c16="http://schemas.microsoft.com/office/drawing/2014/chart" uri="{C3380CC4-5D6E-409C-BE32-E72D297353CC}">
              <c16:uniqueId val="{00000001-2F99-41BA-9906-DC7E0A02952E}"/>
            </c:ext>
          </c:extLst>
        </c:ser>
        <c:ser>
          <c:idx val="1"/>
          <c:order val="1"/>
          <c:tx>
            <c:strRef>
              <c:f>Demographics!$A$49</c:f>
              <c:strCache>
                <c:ptCount val="1"/>
                <c:pt idx="0">
                  <c:v>Graduate</c:v>
                </c:pt>
              </c:strCache>
            </c:strRef>
          </c:tx>
          <c:spPr>
            <a:ln w="28575" cap="rnd">
              <a:solidFill>
                <a:srgbClr val="555960"/>
              </a:solidFill>
              <a:round/>
            </a:ln>
            <a:effectLst/>
          </c:spPr>
          <c:marker>
            <c:symbol val="none"/>
          </c:marker>
          <c:cat>
            <c:strRef>
              <c:f>Demographics!$B$47:$O$47</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Demographics!$B$49:$O$49</c:f>
              <c:numCache>
                <c:formatCode>General</c:formatCode>
                <c:ptCount val="14"/>
                <c:pt idx="0">
                  <c:v>67</c:v>
                </c:pt>
                <c:pt idx="1">
                  <c:v>85</c:v>
                </c:pt>
                <c:pt idx="2">
                  <c:v>96</c:v>
                </c:pt>
                <c:pt idx="3">
                  <c:v>117</c:v>
                </c:pt>
                <c:pt idx="4">
                  <c:v>135</c:v>
                </c:pt>
                <c:pt idx="5">
                  <c:v>144</c:v>
                </c:pt>
                <c:pt idx="6">
                  <c:v>160</c:v>
                </c:pt>
                <c:pt idx="7">
                  <c:v>202</c:v>
                </c:pt>
                <c:pt idx="8">
                  <c:v>257</c:v>
                </c:pt>
                <c:pt idx="9">
                  <c:v>298</c:v>
                </c:pt>
                <c:pt idx="10">
                  <c:v>373</c:v>
                </c:pt>
                <c:pt idx="11">
                  <c:v>372</c:v>
                </c:pt>
                <c:pt idx="12">
                  <c:v>421</c:v>
                </c:pt>
                <c:pt idx="13">
                  <c:v>598</c:v>
                </c:pt>
              </c:numCache>
            </c:numRef>
          </c:val>
          <c:smooth val="0"/>
          <c:extLst>
            <c:ext xmlns:c16="http://schemas.microsoft.com/office/drawing/2014/chart" uri="{C3380CC4-5D6E-409C-BE32-E72D297353CC}">
              <c16:uniqueId val="{00000002-2F99-41BA-9906-DC7E0A02952E}"/>
            </c:ext>
          </c:extLst>
        </c:ser>
        <c:ser>
          <c:idx val="2"/>
          <c:order val="2"/>
          <c:tx>
            <c:strRef>
              <c:f>Demographics!$A$50</c:f>
              <c:strCache>
                <c:ptCount val="1"/>
                <c:pt idx="0">
                  <c:v>Professional</c:v>
                </c:pt>
              </c:strCache>
            </c:strRef>
          </c:tx>
          <c:spPr>
            <a:ln w="28575" cap="rnd">
              <a:solidFill>
                <a:srgbClr val="8E6F3E"/>
              </a:solidFill>
              <a:round/>
            </a:ln>
            <a:effectLst/>
          </c:spPr>
          <c:marker>
            <c:symbol val="none"/>
          </c:marker>
          <c:cat>
            <c:strRef>
              <c:f>Demographics!$B$47:$O$47</c:f>
              <c:strCache>
                <c:ptCount val="14"/>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pt idx="13">
                  <c:v>2024-2025</c:v>
                </c:pt>
              </c:strCache>
            </c:strRef>
          </c:cat>
          <c:val>
            <c:numRef>
              <c:f>Demographics!$B$50:$O$50</c:f>
              <c:numCache>
                <c:formatCode>General</c:formatCode>
                <c:ptCount val="14"/>
                <c:pt idx="0">
                  <c:v>14</c:v>
                </c:pt>
                <c:pt idx="1">
                  <c:v>20</c:v>
                </c:pt>
                <c:pt idx="2">
                  <c:v>16</c:v>
                </c:pt>
                <c:pt idx="3">
                  <c:v>20</c:v>
                </c:pt>
                <c:pt idx="4">
                  <c:v>30</c:v>
                </c:pt>
                <c:pt idx="5">
                  <c:v>33</c:v>
                </c:pt>
                <c:pt idx="6">
                  <c:v>50</c:v>
                </c:pt>
                <c:pt idx="7">
                  <c:v>54</c:v>
                </c:pt>
                <c:pt idx="8">
                  <c:v>59</c:v>
                </c:pt>
                <c:pt idx="9">
                  <c:v>74</c:v>
                </c:pt>
                <c:pt idx="10">
                  <c:v>81</c:v>
                </c:pt>
                <c:pt idx="11">
                  <c:v>101</c:v>
                </c:pt>
                <c:pt idx="12">
                  <c:v>117</c:v>
                </c:pt>
                <c:pt idx="13">
                  <c:v>139</c:v>
                </c:pt>
              </c:numCache>
            </c:numRef>
          </c:val>
          <c:smooth val="0"/>
          <c:extLst>
            <c:ext xmlns:c16="http://schemas.microsoft.com/office/drawing/2014/chart" uri="{C3380CC4-5D6E-409C-BE32-E72D297353CC}">
              <c16:uniqueId val="{00000003-2F99-41BA-9906-DC7E0A02952E}"/>
            </c:ext>
          </c:extLst>
        </c:ser>
        <c:dLbls>
          <c:showLegendKey val="0"/>
          <c:showVal val="0"/>
          <c:showCatName val="0"/>
          <c:showSerName val="0"/>
          <c:showPercent val="0"/>
          <c:showBubbleSize val="0"/>
        </c:dLbls>
        <c:marker val="1"/>
        <c:smooth val="0"/>
        <c:axId val="168922320"/>
        <c:axId val="481779256"/>
      </c:lineChart>
      <c:catAx>
        <c:axId val="16892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1779256"/>
        <c:crosses val="autoZero"/>
        <c:auto val="1"/>
        <c:lblAlgn val="ctr"/>
        <c:lblOffset val="100"/>
        <c:noMultiLvlLbl val="0"/>
      </c:catAx>
      <c:valAx>
        <c:axId val="481779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2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D1704-5057-472A-BDFA-C96D80D39992}">
  <we:reference id="wa200005502" version="1.0.0.12" store="en-US" storeType="OMEX"/>
  <we:alternateReferences>
    <we:reference id="WA200005502" version="1.0.0.12" store="WA200005502" storeType="OMEX"/>
  </we:alternateReferences>
  <we:properties>
    <we:property name="docId" value="&quot;54o5PkLCDYRDY0CNwTZcv&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67BE2-7FB0-43FA-86EF-4E4C576F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3508</Words>
  <Characters>20000</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Mattingly, Andrea L</dc:creator>
  <cp:keywords/>
  <dc:description/>
  <cp:lastModifiedBy>Margaret Catherine O'Connor</cp:lastModifiedBy>
  <cp:revision>10</cp:revision>
  <cp:lastPrinted>2023-11-30T14:00:00Z</cp:lastPrinted>
  <dcterms:created xsi:type="dcterms:W3CDTF">2025-11-24T17:26:00Z</dcterms:created>
  <dcterms:modified xsi:type="dcterms:W3CDTF">2025-12-05T20:47:00Z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2025-06-09T14:58:43Z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0deac272-431f-4fb0-8ff3-9ead3e5da76a</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